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F7D3" w14:textId="51557EC2" w:rsidR="007808A5" w:rsidRDefault="008D1488" w:rsidP="001942E4">
      <w:pPr>
        <w:pStyle w:val="Heading1"/>
      </w:pPr>
      <w:r w:rsidRPr="008D1488">
        <w:rPr>
          <w:noProof/>
        </w:rPr>
        <w:drawing>
          <wp:anchor distT="0" distB="0" distL="114300" distR="114300" simplePos="0" relativeHeight="251933696" behindDoc="0" locked="0" layoutInCell="1" allowOverlap="1" wp14:anchorId="5AB89E4E" wp14:editId="6762D34C">
            <wp:simplePos x="0" y="0"/>
            <wp:positionH relativeFrom="margin">
              <wp:align>right</wp:align>
            </wp:positionH>
            <wp:positionV relativeFrom="paragraph">
              <wp:posOffset>249</wp:posOffset>
            </wp:positionV>
            <wp:extent cx="5879592" cy="8233335"/>
            <wp:effectExtent l="0" t="0" r="698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9592" cy="8233335"/>
                    </a:xfrm>
                    <a:prstGeom prst="rect">
                      <a:avLst/>
                    </a:prstGeom>
                    <a:noFill/>
                    <a:ln>
                      <a:noFill/>
                    </a:ln>
                  </pic:spPr>
                </pic:pic>
              </a:graphicData>
            </a:graphic>
          </wp:anchor>
        </w:drawing>
      </w:r>
    </w:p>
    <w:p w14:paraId="110B4A7F" w14:textId="77777777" w:rsidR="00680C94" w:rsidRDefault="00680C94" w:rsidP="001942E4">
      <w:pPr>
        <w:pStyle w:val="Heading1"/>
      </w:pPr>
      <w:r>
        <w:lastRenderedPageBreak/>
        <w:t>Centennial Economic Activity</w:t>
      </w:r>
    </w:p>
    <w:p w14:paraId="0537D498" w14:textId="49E3830A" w:rsidR="00C95417" w:rsidRPr="00C95417" w:rsidRDefault="006E147E" w:rsidP="00C95417">
      <w:pPr>
        <w:pStyle w:val="Heading2"/>
      </w:pPr>
      <w:r w:rsidRPr="006E147E">
        <w:t>Company Announcements</w:t>
      </w:r>
    </w:p>
    <w:p w14:paraId="2CBAF6D5" w14:textId="2CBC3C08" w:rsidR="00262670" w:rsidRDefault="00262670" w:rsidP="0091448F">
      <w:pPr>
        <w:pStyle w:val="ListParagraph"/>
        <w:numPr>
          <w:ilvl w:val="0"/>
          <w:numId w:val="17"/>
        </w:numPr>
        <w:contextualSpacing w:val="0"/>
        <w:rPr>
          <w:rFonts w:ascii="Calibri" w:eastAsia="Calibri" w:hAnsi="Calibri" w:cs="Times New Roman"/>
          <w:sz w:val="20"/>
          <w:szCs w:val="20"/>
        </w:rPr>
      </w:pPr>
      <w:r w:rsidRPr="00C95417">
        <w:rPr>
          <w:rFonts w:ascii="Calibri" w:eastAsia="Calibri" w:hAnsi="Calibri" w:cs="Times New Roman"/>
          <w:sz w:val="20"/>
          <w:szCs w:val="20"/>
        </w:rPr>
        <w:t>Jordon Perlmutter &amp; Co. purchased 21.95 acres of land at Lincoln Executive Center in Centennial for development of approximately 300,000 square feet of industrial space that will feature 24-foot clear height and front-park, rear-load design. The speculative development is planned to include four high-image buildings that will likely be built in two phases. The company likely will break ground on the first two buildings in the first quarter of 2020.</w:t>
      </w:r>
    </w:p>
    <w:p w14:paraId="4C57C87C" w14:textId="7F2CB808" w:rsidR="0091448F" w:rsidRPr="0091448F" w:rsidRDefault="0091448F" w:rsidP="0091448F">
      <w:pPr>
        <w:pStyle w:val="ListParagraph"/>
        <w:numPr>
          <w:ilvl w:val="0"/>
          <w:numId w:val="17"/>
        </w:numPr>
        <w:contextualSpacing w:val="0"/>
        <w:rPr>
          <w:rFonts w:ascii="Calibri" w:eastAsia="Calibri" w:hAnsi="Calibri" w:cs="Times New Roman"/>
          <w:sz w:val="20"/>
          <w:szCs w:val="20"/>
        </w:rPr>
      </w:pPr>
      <w:r w:rsidRPr="0091448F">
        <w:rPr>
          <w:rFonts w:ascii="Calibri" w:eastAsia="Calibri" w:hAnsi="Calibri" w:cs="Times New Roman"/>
          <w:sz w:val="20"/>
          <w:szCs w:val="20"/>
        </w:rPr>
        <w:t xml:space="preserve">Brown Brothers Harriman and Co., a New York City-based investment bank and financial advisory firm, will shut down its Centennial office at 6801 S Tucson Way. All 136 employees will lose their jobs between November 25 and September 30 of next year. The firm employs more than 6,000 people across 18 offices. Positions being cut include operations specialists and analysts, fund accountants, and legal analysts. </w:t>
      </w:r>
    </w:p>
    <w:p w14:paraId="41F410CD" w14:textId="30638178" w:rsidR="00DF426E" w:rsidRPr="00B24B5B" w:rsidRDefault="00ED3493" w:rsidP="00B24B5B">
      <w:pPr>
        <w:pStyle w:val="Heading2"/>
      </w:pPr>
      <w:r>
        <w:t xml:space="preserve">Rankings and </w:t>
      </w:r>
      <w:r w:rsidR="00865F1C" w:rsidRPr="00107522">
        <w:t>Economic Headlines</w:t>
      </w:r>
    </w:p>
    <w:p w14:paraId="62EE449B" w14:textId="425F3897" w:rsidR="00C95417" w:rsidRPr="00C95417" w:rsidRDefault="00C95417" w:rsidP="00C95417">
      <w:pPr>
        <w:pStyle w:val="ListParagraph"/>
        <w:numPr>
          <w:ilvl w:val="0"/>
          <w:numId w:val="17"/>
        </w:numPr>
        <w:contextualSpacing w:val="0"/>
        <w:rPr>
          <w:rFonts w:ascii="Calibri" w:eastAsia="Calibri" w:hAnsi="Calibri" w:cs="Times New Roman"/>
          <w:sz w:val="20"/>
          <w:szCs w:val="20"/>
        </w:rPr>
      </w:pPr>
      <w:r w:rsidRPr="00C95417">
        <w:rPr>
          <w:rFonts w:ascii="Calibri" w:eastAsia="Calibri" w:hAnsi="Calibri" w:cs="Times New Roman"/>
          <w:sz w:val="20"/>
          <w:szCs w:val="20"/>
        </w:rPr>
        <w:t>Thumbtack, a San Francisco-based company,</w:t>
      </w:r>
      <w:r w:rsidR="00DE3E48">
        <w:rPr>
          <w:rFonts w:ascii="Calibri" w:eastAsia="Calibri" w:hAnsi="Calibri" w:cs="Times New Roman"/>
          <w:sz w:val="20"/>
          <w:szCs w:val="20"/>
        </w:rPr>
        <w:t xml:space="preserve"> ranked</w:t>
      </w:r>
      <w:r w:rsidRPr="00C95417">
        <w:rPr>
          <w:rFonts w:ascii="Calibri" w:eastAsia="Calibri" w:hAnsi="Calibri" w:cs="Times New Roman"/>
          <w:sz w:val="20"/>
          <w:szCs w:val="20"/>
        </w:rPr>
        <w:t xml:space="preserve"> Denver No. 6 in the company’s “2019 Small Business Friendliness Survey”. The report surveyed over 5,000 small business owners, asking questions such as licensing requirements, tax regulations, and labor and hiring regulations. Denver received an “A” mark, with high ratings for employment, labor and hiring, government websites, ease of hiring, and training and networking programs. In 2018, Denver earned a C- ranking, with an F for government websites. Overall, the state of Colorado received an A- score, up from a C- overall in 2018.</w:t>
      </w:r>
    </w:p>
    <w:p w14:paraId="0AABC5AE" w14:textId="77777777" w:rsidR="00C95417" w:rsidRPr="00C95417" w:rsidRDefault="00C95417" w:rsidP="00C95417">
      <w:pPr>
        <w:pStyle w:val="ListParagraph"/>
        <w:numPr>
          <w:ilvl w:val="0"/>
          <w:numId w:val="17"/>
        </w:numPr>
        <w:contextualSpacing w:val="0"/>
        <w:rPr>
          <w:rFonts w:ascii="Calibri" w:eastAsia="Calibri" w:hAnsi="Calibri" w:cs="Times New Roman"/>
          <w:sz w:val="20"/>
          <w:szCs w:val="20"/>
        </w:rPr>
      </w:pPr>
      <w:r w:rsidRPr="00C95417">
        <w:rPr>
          <w:rFonts w:ascii="Calibri" w:eastAsia="Calibri" w:hAnsi="Calibri" w:cs="Times New Roman"/>
          <w:sz w:val="20"/>
          <w:szCs w:val="20"/>
        </w:rPr>
        <w:t xml:space="preserve">According to CBRE’s annual “Scoring Tech Talent” report, Denver ranked No. 8 for best market for tech talent, moving up two spots from last year. The report analyzed 13 metrics including tech talent supply, growth, concentration, cost, completed tech degrees, industry outlook for job growth, and market outlook for both office and apartment rental growth. Greater Denver had the 13th-largest tech talent market and the fifth-highest market for educational attainment. </w:t>
      </w:r>
    </w:p>
    <w:p w14:paraId="7ACB6206" w14:textId="32D74DD4" w:rsidR="00C95417" w:rsidRPr="00C95417" w:rsidRDefault="00DE3E48" w:rsidP="00C95417">
      <w:pPr>
        <w:pStyle w:val="ListParagraph"/>
        <w:numPr>
          <w:ilvl w:val="0"/>
          <w:numId w:val="17"/>
        </w:numPr>
        <w:contextualSpacing w:val="0"/>
        <w:rPr>
          <w:rFonts w:ascii="Calibri" w:eastAsia="Calibri" w:hAnsi="Calibri" w:cs="Times New Roman"/>
          <w:sz w:val="20"/>
          <w:szCs w:val="20"/>
        </w:rPr>
      </w:pPr>
      <w:r>
        <w:rPr>
          <w:rFonts w:ascii="Calibri" w:eastAsia="Calibri" w:hAnsi="Calibri" w:cs="Times New Roman"/>
          <w:sz w:val="20"/>
          <w:szCs w:val="20"/>
        </w:rPr>
        <w:t xml:space="preserve">In the </w:t>
      </w:r>
      <w:r w:rsidR="00C95417" w:rsidRPr="00C95417">
        <w:rPr>
          <w:rFonts w:ascii="Calibri" w:eastAsia="Calibri" w:hAnsi="Calibri" w:cs="Times New Roman"/>
          <w:sz w:val="20"/>
          <w:szCs w:val="20"/>
        </w:rPr>
        <w:t>“Emerging Trends in Real Estate” report</w:t>
      </w:r>
      <w:r w:rsidR="007A5154">
        <w:rPr>
          <w:rFonts w:ascii="Calibri" w:eastAsia="Calibri" w:hAnsi="Calibri" w:cs="Times New Roman"/>
          <w:sz w:val="20"/>
          <w:szCs w:val="20"/>
        </w:rPr>
        <w:t xml:space="preserve"> by</w:t>
      </w:r>
      <w:r>
        <w:rPr>
          <w:rFonts w:ascii="Calibri" w:eastAsia="Calibri" w:hAnsi="Calibri" w:cs="Times New Roman"/>
          <w:sz w:val="20"/>
          <w:szCs w:val="20"/>
        </w:rPr>
        <w:t xml:space="preserve"> the Urban Land Institute</w:t>
      </w:r>
      <w:r w:rsidR="007A5154">
        <w:rPr>
          <w:rFonts w:ascii="Calibri" w:eastAsia="Calibri" w:hAnsi="Calibri" w:cs="Times New Roman"/>
          <w:sz w:val="20"/>
          <w:szCs w:val="20"/>
        </w:rPr>
        <w:t>,</w:t>
      </w:r>
      <w:r w:rsidR="00C95417" w:rsidRPr="00C95417">
        <w:rPr>
          <w:rFonts w:ascii="Calibri" w:eastAsia="Calibri" w:hAnsi="Calibri" w:cs="Times New Roman"/>
          <w:sz w:val="20"/>
          <w:szCs w:val="20"/>
        </w:rPr>
        <w:t xml:space="preserve"> Denver </w:t>
      </w:r>
      <w:r w:rsidR="007A5154">
        <w:rPr>
          <w:rFonts w:ascii="Calibri" w:eastAsia="Calibri" w:hAnsi="Calibri" w:cs="Times New Roman"/>
          <w:sz w:val="20"/>
          <w:szCs w:val="20"/>
        </w:rPr>
        <w:t xml:space="preserve">ranked </w:t>
      </w:r>
      <w:r w:rsidR="00C95417" w:rsidRPr="00C95417">
        <w:rPr>
          <w:rFonts w:ascii="Calibri" w:eastAsia="Calibri" w:hAnsi="Calibri" w:cs="Times New Roman"/>
          <w:sz w:val="20"/>
          <w:szCs w:val="20"/>
        </w:rPr>
        <w:t xml:space="preserve">No. 17 for overall real estate prospects. The report surveyed respondents and asked them questions about national and local real estate prospects, how investors are allocating their transactions, and how the flow of people shape the area. Denver ranked No. 8 last year, falling 11 spots this year. The report noted Denver had a strong growth trajectory combined with a good size but had hurtles to overcome such as rising costs in residential real estate and construction. </w:t>
      </w:r>
    </w:p>
    <w:p w14:paraId="677C7AC3" w14:textId="77777777" w:rsidR="00C95417" w:rsidRPr="00C95417" w:rsidRDefault="00C95417" w:rsidP="00C95417">
      <w:pPr>
        <w:pStyle w:val="ListParagraph"/>
        <w:numPr>
          <w:ilvl w:val="0"/>
          <w:numId w:val="17"/>
        </w:numPr>
        <w:contextualSpacing w:val="0"/>
        <w:rPr>
          <w:rFonts w:ascii="Calibri" w:eastAsia="Calibri" w:hAnsi="Calibri" w:cs="Times New Roman"/>
          <w:sz w:val="20"/>
          <w:szCs w:val="20"/>
        </w:rPr>
      </w:pPr>
      <w:r w:rsidRPr="00C95417">
        <w:rPr>
          <w:rFonts w:ascii="Calibri" w:eastAsia="Calibri" w:hAnsi="Calibri" w:cs="Times New Roman"/>
          <w:sz w:val="20"/>
          <w:szCs w:val="20"/>
        </w:rPr>
        <w:t xml:space="preserve">According to </w:t>
      </w:r>
      <w:proofErr w:type="spellStart"/>
      <w:r w:rsidRPr="00C95417">
        <w:rPr>
          <w:rFonts w:ascii="Calibri" w:eastAsia="Calibri" w:hAnsi="Calibri" w:cs="Times New Roman"/>
          <w:sz w:val="20"/>
          <w:szCs w:val="20"/>
        </w:rPr>
        <w:t>HSH.com’s</w:t>
      </w:r>
      <w:proofErr w:type="spellEnd"/>
      <w:r w:rsidRPr="00C95417">
        <w:rPr>
          <w:rFonts w:ascii="Calibri" w:eastAsia="Calibri" w:hAnsi="Calibri" w:cs="Times New Roman"/>
          <w:sz w:val="20"/>
          <w:szCs w:val="20"/>
        </w:rPr>
        <w:t xml:space="preserve"> “Home Price Recovery Index”, Metro Denver ranked first for areas that have recovered the most from the previous peak of housing prices. The report uses the Federal Housing Finance Agency’s (FHFA) Home Price Index to determine which housing markets have recovered using peak values reached before and after the recession. Metro Denver home prices were 91 percent higher compared with the previous peak before the recession, the largest movement in housing prices.</w:t>
      </w:r>
    </w:p>
    <w:p w14:paraId="2D7E6AF9" w14:textId="77777777" w:rsidR="00C95417" w:rsidRPr="00C95417" w:rsidRDefault="00C95417" w:rsidP="00C95417">
      <w:pPr>
        <w:pStyle w:val="ListParagraph"/>
        <w:numPr>
          <w:ilvl w:val="0"/>
          <w:numId w:val="17"/>
        </w:numPr>
        <w:contextualSpacing w:val="0"/>
        <w:rPr>
          <w:rFonts w:ascii="Calibri" w:eastAsia="Calibri" w:hAnsi="Calibri" w:cs="Times New Roman"/>
          <w:sz w:val="20"/>
          <w:szCs w:val="20"/>
        </w:rPr>
      </w:pPr>
      <w:r w:rsidRPr="00C95417">
        <w:rPr>
          <w:rFonts w:ascii="Calibri" w:eastAsia="Calibri" w:hAnsi="Calibri" w:cs="Times New Roman"/>
          <w:sz w:val="20"/>
          <w:szCs w:val="20"/>
        </w:rPr>
        <w:t xml:space="preserve">According to CNBC’s “America’s Top States for Business” study, Colorado ranked No. 9. The study ranked all states for business competitiveness using more than 60 metrics across 10 categories, including Workforce, Economy, Quality of Life, and Cost of Doing Business. Colorado achieved 1,486 out of 2,500 points. Top qualifications for the ranking included Colorado’s economic growth in 2018 (+3.5 percent), low unemployment (3.2 percent), and the state ranking No. 7 in both Quality of Life and Technology &amp; Innovation. Worst categories for the state included Cost of Doing Business (No. 37), Infrastructure (No. 35), and Cost of Living (No. 34). Virginia, Texas, and North Carolina placed first, second, and third, respectively. </w:t>
      </w:r>
    </w:p>
    <w:p w14:paraId="17C2411A" w14:textId="15276840" w:rsidR="00051AB4" w:rsidRDefault="00051AB4" w:rsidP="00051AB4">
      <w:pPr>
        <w:pStyle w:val="Heading1"/>
      </w:pPr>
      <w:r>
        <w:lastRenderedPageBreak/>
        <w:t>Employment Activity</w:t>
      </w:r>
    </w:p>
    <w:p w14:paraId="3974CC09" w14:textId="6E047AFC" w:rsidR="00281EB6" w:rsidRDefault="000C4D56" w:rsidP="00823812">
      <w:pPr>
        <w:pStyle w:val="Heading2"/>
      </w:pPr>
      <w:r>
        <w:rPr>
          <w:noProof/>
        </w:rPr>
        <w:drawing>
          <wp:anchor distT="0" distB="0" distL="114300" distR="114300" simplePos="0" relativeHeight="251917312" behindDoc="0" locked="0" layoutInCell="1" allowOverlap="1" wp14:anchorId="15438D36" wp14:editId="40C67B11">
            <wp:simplePos x="0" y="0"/>
            <wp:positionH relativeFrom="column">
              <wp:posOffset>-7951</wp:posOffset>
            </wp:positionH>
            <wp:positionV relativeFrom="paragraph">
              <wp:posOffset>3170721</wp:posOffset>
            </wp:positionV>
            <wp:extent cx="4078224" cy="2862072"/>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8224" cy="2862072"/>
                    </a:xfrm>
                    <a:prstGeom prst="rect">
                      <a:avLst/>
                    </a:prstGeom>
                    <a:noFill/>
                  </pic:spPr>
                </pic:pic>
              </a:graphicData>
            </a:graphic>
          </wp:anchor>
        </w:drawing>
      </w:r>
      <w:r>
        <w:rPr>
          <w:noProof/>
        </w:rPr>
        <w:drawing>
          <wp:anchor distT="0" distB="0" distL="114300" distR="114300" simplePos="0" relativeHeight="251916288" behindDoc="0" locked="0" layoutInCell="1" allowOverlap="1" wp14:anchorId="79FDF364" wp14:editId="6DE8002F">
            <wp:simplePos x="0" y="0"/>
            <wp:positionH relativeFrom="margin">
              <wp:align>left</wp:align>
            </wp:positionH>
            <wp:positionV relativeFrom="paragraph">
              <wp:posOffset>272526</wp:posOffset>
            </wp:positionV>
            <wp:extent cx="4077970" cy="2797810"/>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70" cy="2797810"/>
                    </a:xfrm>
                    <a:prstGeom prst="rect">
                      <a:avLst/>
                    </a:prstGeom>
                    <a:noFill/>
                  </pic:spPr>
                </pic:pic>
              </a:graphicData>
            </a:graphic>
          </wp:anchor>
        </w:drawing>
      </w:r>
      <w:r w:rsidR="00051AB4">
        <w:t>Total Employment</w:t>
      </w:r>
      <w:r w:rsidR="00E72319">
        <w:t xml:space="preserve"> </w:t>
      </w:r>
    </w:p>
    <w:p w14:paraId="53AE6182" w14:textId="09E9EBB7" w:rsidR="000C4D56" w:rsidRPr="000C4D56" w:rsidRDefault="000C4D56" w:rsidP="000C4D56"/>
    <w:p w14:paraId="43E9A84C" w14:textId="05D2041C" w:rsidR="000C4D56" w:rsidRPr="005068B5" w:rsidRDefault="000C4D56" w:rsidP="00884274">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During the first quarter of 2019, </w:t>
      </w:r>
      <w:r w:rsidR="00032D3B">
        <w:rPr>
          <w:bCs/>
          <w:iCs/>
          <w:sz w:val="20"/>
          <w:szCs w:val="20"/>
        </w:rPr>
        <w:t xml:space="preserve">companies in </w:t>
      </w:r>
      <w:r w:rsidRPr="005068B5">
        <w:rPr>
          <w:bCs/>
          <w:iCs/>
          <w:sz w:val="20"/>
          <w:szCs w:val="20"/>
        </w:rPr>
        <w:t xml:space="preserve">Centennial employed 64,171 </w:t>
      </w:r>
      <w:r w:rsidR="00032D3B">
        <w:rPr>
          <w:bCs/>
          <w:iCs/>
          <w:sz w:val="20"/>
          <w:szCs w:val="20"/>
        </w:rPr>
        <w:t>worker</w:t>
      </w:r>
      <w:r w:rsidRPr="005068B5">
        <w:rPr>
          <w:bCs/>
          <w:iCs/>
          <w:sz w:val="20"/>
          <w:szCs w:val="20"/>
        </w:rPr>
        <w:t xml:space="preserve">s across 5,020 businesses, an increase of </w:t>
      </w:r>
      <w:r w:rsidR="00032D3B">
        <w:rPr>
          <w:bCs/>
          <w:iCs/>
          <w:sz w:val="20"/>
          <w:szCs w:val="20"/>
        </w:rPr>
        <w:t>1.6</w:t>
      </w:r>
      <w:r w:rsidRPr="005068B5">
        <w:rPr>
          <w:bCs/>
          <w:iCs/>
          <w:sz w:val="20"/>
          <w:szCs w:val="20"/>
        </w:rPr>
        <w:t xml:space="preserve"> percent compared with employment in the first quarter of 2018. Employment in Metro Denver</w:t>
      </w:r>
      <w:r w:rsidRPr="005068B5">
        <w:rPr>
          <w:rStyle w:val="FootnoteReference"/>
          <w:bCs/>
          <w:iCs/>
          <w:sz w:val="20"/>
          <w:szCs w:val="20"/>
        </w:rPr>
        <w:footnoteReference w:id="1"/>
      </w:r>
      <w:r w:rsidRPr="005068B5">
        <w:rPr>
          <w:bCs/>
          <w:iCs/>
          <w:sz w:val="20"/>
          <w:szCs w:val="20"/>
        </w:rPr>
        <w:t xml:space="preserve"> reached over 1.65 million people during the period, a 2.1 percent increase over-the-year. </w:t>
      </w:r>
    </w:p>
    <w:p w14:paraId="738891EB" w14:textId="2C32E52F" w:rsidR="000C4D56" w:rsidRPr="005068B5" w:rsidRDefault="00032D3B" w:rsidP="00B24B5B">
      <w:pPr>
        <w:pStyle w:val="ListParagraph"/>
        <w:numPr>
          <w:ilvl w:val="0"/>
          <w:numId w:val="2"/>
        </w:numPr>
        <w:spacing w:before="120" w:after="120" w:line="240" w:lineRule="auto"/>
        <w:ind w:left="360"/>
        <w:contextualSpacing w:val="0"/>
        <w:rPr>
          <w:bCs/>
          <w:iCs/>
          <w:sz w:val="20"/>
          <w:szCs w:val="20"/>
        </w:rPr>
      </w:pPr>
      <w:r w:rsidRPr="00032D3B">
        <w:rPr>
          <w:noProof/>
        </w:rPr>
        <w:lastRenderedPageBreak/>
        <w:drawing>
          <wp:anchor distT="0" distB="0" distL="114300" distR="114300" simplePos="0" relativeHeight="251927552" behindDoc="0" locked="0" layoutInCell="1" allowOverlap="1" wp14:anchorId="69D6FE4B" wp14:editId="05687948">
            <wp:simplePos x="0" y="0"/>
            <wp:positionH relativeFrom="margin">
              <wp:align>right</wp:align>
            </wp:positionH>
            <wp:positionV relativeFrom="paragraph">
              <wp:posOffset>715176</wp:posOffset>
            </wp:positionV>
            <wp:extent cx="5936615" cy="2926080"/>
            <wp:effectExtent l="0" t="0" r="698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2926080"/>
                    </a:xfrm>
                    <a:prstGeom prst="rect">
                      <a:avLst/>
                    </a:prstGeom>
                    <a:noFill/>
                    <a:ln>
                      <a:noFill/>
                    </a:ln>
                  </pic:spPr>
                </pic:pic>
              </a:graphicData>
            </a:graphic>
          </wp:anchor>
        </w:drawing>
      </w:r>
      <w:r w:rsidR="000C4D56" w:rsidRPr="005068B5">
        <w:rPr>
          <w:bCs/>
          <w:iCs/>
          <w:sz w:val="20"/>
          <w:szCs w:val="20"/>
        </w:rPr>
        <w:t xml:space="preserve">The professional and business services </w:t>
      </w:r>
      <w:proofErr w:type="spellStart"/>
      <w:r w:rsidR="000C4D56" w:rsidRPr="005068B5">
        <w:rPr>
          <w:bCs/>
          <w:iCs/>
          <w:sz w:val="20"/>
          <w:szCs w:val="20"/>
        </w:rPr>
        <w:t>supersector</w:t>
      </w:r>
      <w:proofErr w:type="spellEnd"/>
      <w:r w:rsidR="000C4D56" w:rsidRPr="005068B5">
        <w:rPr>
          <w:bCs/>
          <w:iCs/>
          <w:sz w:val="20"/>
          <w:szCs w:val="20"/>
        </w:rPr>
        <w:t xml:space="preserve"> employed the most people in Centennial at 16,402 employees, followed by financial activities (7,745 jobs) and education and health services (6,752 jobs).</w:t>
      </w:r>
      <w:r w:rsidR="000C4D56" w:rsidRPr="005068B5">
        <w:rPr>
          <w:rStyle w:val="FootnoteReference"/>
          <w:bCs/>
          <w:iCs/>
          <w:sz w:val="20"/>
          <w:szCs w:val="20"/>
        </w:rPr>
        <w:footnoteReference w:id="2"/>
      </w:r>
      <w:r w:rsidR="000C4D56" w:rsidRPr="005068B5">
        <w:rPr>
          <w:bCs/>
          <w:iCs/>
          <w:sz w:val="20"/>
          <w:szCs w:val="20"/>
        </w:rPr>
        <w:t xml:space="preserve"> Similarly, professional and business services employed the most people in Metro Denver, with 306,</w:t>
      </w:r>
      <w:r w:rsidR="00BC3BE7" w:rsidRPr="005068B5">
        <w:rPr>
          <w:bCs/>
          <w:iCs/>
          <w:sz w:val="20"/>
          <w:szCs w:val="20"/>
        </w:rPr>
        <w:t>687 jobs in the first quarter of 2019.</w:t>
      </w:r>
      <w:r w:rsidRPr="00032D3B">
        <w:rPr>
          <w:bCs/>
          <w:iCs/>
          <w:sz w:val="20"/>
          <w:szCs w:val="20"/>
        </w:rPr>
        <w:t xml:space="preserve"> </w:t>
      </w:r>
    </w:p>
    <w:p w14:paraId="56AA2651" w14:textId="29719D2E" w:rsidR="00BC3BE7" w:rsidRPr="005068B5" w:rsidRDefault="00BC3BE7" w:rsidP="00E11E4B">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Seven of the 13 </w:t>
      </w:r>
      <w:proofErr w:type="spellStart"/>
      <w:r w:rsidRPr="005068B5">
        <w:rPr>
          <w:bCs/>
          <w:iCs/>
          <w:sz w:val="20"/>
          <w:szCs w:val="20"/>
        </w:rPr>
        <w:t>supersectors</w:t>
      </w:r>
      <w:proofErr w:type="spellEnd"/>
      <w:r w:rsidRPr="005068B5">
        <w:rPr>
          <w:bCs/>
          <w:iCs/>
          <w:sz w:val="20"/>
          <w:szCs w:val="20"/>
        </w:rPr>
        <w:t xml:space="preserve"> reported growth over-the-year, with mining and logging reporting the largest increase (+75.1 percent), followed by construction (+7.4 percent), and professional and business services (+5.3 percent). Professional and business services added the most jobs over-the-year, increasing by 829 employees. The information </w:t>
      </w:r>
      <w:proofErr w:type="spellStart"/>
      <w:r w:rsidRPr="005068B5">
        <w:rPr>
          <w:bCs/>
          <w:iCs/>
          <w:sz w:val="20"/>
          <w:szCs w:val="20"/>
        </w:rPr>
        <w:t>supersector</w:t>
      </w:r>
      <w:proofErr w:type="spellEnd"/>
      <w:r w:rsidRPr="005068B5">
        <w:rPr>
          <w:bCs/>
          <w:iCs/>
          <w:sz w:val="20"/>
          <w:szCs w:val="20"/>
        </w:rPr>
        <w:t xml:space="preserve"> reported the largest decrease in employment, falling by 2.9 percent, or by 115 fewer jobs, over-the-year, followed by financial activities (-2.4 percent) and education and health services (-2.3 percent). There was a net increase of 1,0</w:t>
      </w:r>
      <w:r w:rsidR="00032D3B">
        <w:rPr>
          <w:bCs/>
          <w:iCs/>
          <w:sz w:val="20"/>
          <w:szCs w:val="20"/>
        </w:rPr>
        <w:t>3</w:t>
      </w:r>
      <w:r w:rsidRPr="005068B5">
        <w:rPr>
          <w:bCs/>
          <w:iCs/>
          <w:sz w:val="20"/>
          <w:szCs w:val="20"/>
        </w:rPr>
        <w:t xml:space="preserve">2 jobs during the period across all </w:t>
      </w:r>
      <w:proofErr w:type="spellStart"/>
      <w:r w:rsidRPr="005068B5">
        <w:rPr>
          <w:bCs/>
          <w:iCs/>
          <w:sz w:val="20"/>
          <w:szCs w:val="20"/>
        </w:rPr>
        <w:t>supersectors</w:t>
      </w:r>
      <w:proofErr w:type="spellEnd"/>
      <w:r w:rsidRPr="005068B5">
        <w:rPr>
          <w:bCs/>
          <w:iCs/>
          <w:sz w:val="20"/>
          <w:szCs w:val="20"/>
        </w:rPr>
        <w:t xml:space="preserve"> in Centennial. In Metro Denver, all 13 </w:t>
      </w:r>
      <w:proofErr w:type="spellStart"/>
      <w:r w:rsidRPr="005068B5">
        <w:rPr>
          <w:bCs/>
          <w:iCs/>
          <w:sz w:val="20"/>
          <w:szCs w:val="20"/>
        </w:rPr>
        <w:t>supersectors</w:t>
      </w:r>
      <w:proofErr w:type="spellEnd"/>
      <w:r w:rsidRPr="005068B5">
        <w:rPr>
          <w:bCs/>
          <w:iCs/>
          <w:sz w:val="20"/>
          <w:szCs w:val="20"/>
        </w:rPr>
        <w:t xml:space="preserve"> reported over-the-year increases, adding 34,786 jobs during the period. </w:t>
      </w:r>
      <w:proofErr w:type="gramStart"/>
      <w:r w:rsidRPr="005068B5">
        <w:rPr>
          <w:bCs/>
          <w:iCs/>
          <w:sz w:val="20"/>
          <w:szCs w:val="20"/>
        </w:rPr>
        <w:t>Similar to</w:t>
      </w:r>
      <w:proofErr w:type="gramEnd"/>
      <w:r w:rsidRPr="005068B5">
        <w:rPr>
          <w:bCs/>
          <w:iCs/>
          <w:sz w:val="20"/>
          <w:szCs w:val="20"/>
        </w:rPr>
        <w:t xml:space="preserve"> Centennial, mining and logging reported the largest increase of 8.8 percent, adding 1,199 jobs.</w:t>
      </w:r>
    </w:p>
    <w:p w14:paraId="4ABE6E4A" w14:textId="366CB18F" w:rsidR="00C95417" w:rsidRPr="00C95417" w:rsidRDefault="00C95417" w:rsidP="00C95417"/>
    <w:p w14:paraId="1B43D33D" w14:textId="2A4B244A" w:rsidR="00051AB4" w:rsidRPr="00107522" w:rsidRDefault="00451C8A" w:rsidP="00451C8A">
      <w:pPr>
        <w:pStyle w:val="Heading2"/>
      </w:pPr>
      <w:r w:rsidRPr="00107522">
        <w:t>Average Wage</w:t>
      </w:r>
    </w:p>
    <w:p w14:paraId="5A65518E" w14:textId="06A7AF80" w:rsidR="00BC3BE7" w:rsidRPr="005068B5" w:rsidRDefault="00032D3B" w:rsidP="00455287">
      <w:pPr>
        <w:pStyle w:val="ListParagraph"/>
        <w:numPr>
          <w:ilvl w:val="0"/>
          <w:numId w:val="2"/>
        </w:numPr>
        <w:spacing w:before="120" w:after="120" w:line="240" w:lineRule="auto"/>
        <w:ind w:left="360"/>
        <w:contextualSpacing w:val="0"/>
        <w:rPr>
          <w:bCs/>
          <w:iCs/>
          <w:sz w:val="20"/>
          <w:szCs w:val="20"/>
        </w:rPr>
      </w:pPr>
      <w:r>
        <w:rPr>
          <w:bCs/>
          <w:iCs/>
          <w:noProof/>
          <w:sz w:val="20"/>
          <w:szCs w:val="20"/>
        </w:rPr>
        <w:drawing>
          <wp:anchor distT="0" distB="0" distL="114300" distR="114300" simplePos="0" relativeHeight="251928576" behindDoc="0" locked="0" layoutInCell="1" allowOverlap="1" wp14:anchorId="51595133" wp14:editId="425D90B2">
            <wp:simplePos x="0" y="0"/>
            <wp:positionH relativeFrom="margin">
              <wp:align>right</wp:align>
            </wp:positionH>
            <wp:positionV relativeFrom="paragraph">
              <wp:posOffset>88210</wp:posOffset>
            </wp:positionV>
            <wp:extent cx="3218688" cy="2139696"/>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8688" cy="2139696"/>
                    </a:xfrm>
                    <a:prstGeom prst="rect">
                      <a:avLst/>
                    </a:prstGeom>
                    <a:noFill/>
                  </pic:spPr>
                </pic:pic>
              </a:graphicData>
            </a:graphic>
          </wp:anchor>
        </w:drawing>
      </w:r>
      <w:r w:rsidR="00BC3BE7" w:rsidRPr="005068B5">
        <w:rPr>
          <w:bCs/>
          <w:iCs/>
          <w:sz w:val="20"/>
          <w:szCs w:val="20"/>
        </w:rPr>
        <w:t>The average weekly wage in Centennial for all industries was 18.2 percent higher than the average weekly wage in Metro Denver, representing an additional $254 per week.</w:t>
      </w:r>
    </w:p>
    <w:p w14:paraId="09701AF6" w14:textId="48E0AB77" w:rsidR="00BC3BE7" w:rsidRPr="005068B5" w:rsidRDefault="00BC3BE7" w:rsidP="00455287">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The mining and logging </w:t>
      </w:r>
      <w:proofErr w:type="spellStart"/>
      <w:r w:rsidRPr="005068B5">
        <w:rPr>
          <w:bCs/>
          <w:iCs/>
          <w:sz w:val="20"/>
          <w:szCs w:val="20"/>
        </w:rPr>
        <w:t>supersector</w:t>
      </w:r>
      <w:proofErr w:type="spellEnd"/>
      <w:r w:rsidRPr="005068B5">
        <w:rPr>
          <w:bCs/>
          <w:iCs/>
          <w:sz w:val="20"/>
          <w:szCs w:val="20"/>
        </w:rPr>
        <w:t xml:space="preserve"> reported the highest weekly wage at $2,962 per week, a 30.1 percent decrease from the same time last year which totaled $4,236 per </w:t>
      </w:r>
      <w:r w:rsidR="00E0572D" w:rsidRPr="005068B5">
        <w:rPr>
          <w:bCs/>
          <w:iCs/>
          <w:sz w:val="20"/>
          <w:szCs w:val="20"/>
        </w:rPr>
        <w:t xml:space="preserve">week. </w:t>
      </w:r>
    </w:p>
    <w:p w14:paraId="6E1EDAE1" w14:textId="7C25254C" w:rsidR="00E0572D" w:rsidRPr="005068B5" w:rsidRDefault="00E0572D" w:rsidP="00455287">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Ten of the 13 </w:t>
      </w:r>
      <w:proofErr w:type="spellStart"/>
      <w:r w:rsidRPr="005068B5">
        <w:rPr>
          <w:bCs/>
          <w:iCs/>
          <w:sz w:val="20"/>
          <w:szCs w:val="20"/>
        </w:rPr>
        <w:t>supersectors</w:t>
      </w:r>
      <w:proofErr w:type="spellEnd"/>
      <w:r w:rsidRPr="005068B5">
        <w:rPr>
          <w:bCs/>
          <w:iCs/>
          <w:sz w:val="20"/>
          <w:szCs w:val="20"/>
        </w:rPr>
        <w:t xml:space="preserve"> in Centennial reported increases in the average weekly wage between the first quarters of 2018 and 2</w:t>
      </w:r>
      <w:r w:rsidR="00032D3B">
        <w:rPr>
          <w:bCs/>
          <w:iCs/>
          <w:sz w:val="20"/>
          <w:szCs w:val="20"/>
        </w:rPr>
        <w:t>0</w:t>
      </w:r>
      <w:r w:rsidRPr="005068B5">
        <w:rPr>
          <w:bCs/>
          <w:iCs/>
          <w:sz w:val="20"/>
          <w:szCs w:val="20"/>
        </w:rPr>
        <w:t xml:space="preserve">19. The information </w:t>
      </w:r>
      <w:proofErr w:type="spellStart"/>
      <w:r w:rsidRPr="005068B5">
        <w:rPr>
          <w:bCs/>
          <w:iCs/>
          <w:sz w:val="20"/>
          <w:szCs w:val="20"/>
        </w:rPr>
        <w:t>supersector</w:t>
      </w:r>
      <w:proofErr w:type="spellEnd"/>
      <w:r w:rsidRPr="005068B5">
        <w:rPr>
          <w:bCs/>
          <w:iCs/>
          <w:sz w:val="20"/>
          <w:szCs w:val="20"/>
        </w:rPr>
        <w:t xml:space="preserve"> reported the largest increase, rising by 20 percent to a </w:t>
      </w:r>
      <w:r w:rsidRPr="005068B5">
        <w:rPr>
          <w:bCs/>
          <w:iCs/>
          <w:sz w:val="20"/>
          <w:szCs w:val="20"/>
        </w:rPr>
        <w:lastRenderedPageBreak/>
        <w:t>weekly wage of $2,767. This large increase was due to a high-valued company entering the data series with a marginal addition of employees to the area. Mining and logging reported the largest decrease over-the-year</w:t>
      </w:r>
      <w:proofErr w:type="gramStart"/>
      <w:r w:rsidRPr="005068B5">
        <w:rPr>
          <w:bCs/>
          <w:iCs/>
          <w:sz w:val="20"/>
          <w:szCs w:val="20"/>
        </w:rPr>
        <w:t xml:space="preserve">   (</w:t>
      </w:r>
      <w:proofErr w:type="gramEnd"/>
      <w:r w:rsidRPr="005068B5">
        <w:rPr>
          <w:bCs/>
          <w:iCs/>
          <w:sz w:val="20"/>
          <w:szCs w:val="20"/>
        </w:rPr>
        <w:t>-30.1 percent), followed by construction</w:t>
      </w:r>
      <w:r w:rsidR="00032D3B">
        <w:rPr>
          <w:bCs/>
          <w:iCs/>
          <w:sz w:val="20"/>
          <w:szCs w:val="20"/>
        </w:rPr>
        <w:t>,</w:t>
      </w:r>
      <w:r w:rsidRPr="005068B5">
        <w:rPr>
          <w:bCs/>
          <w:iCs/>
          <w:sz w:val="20"/>
          <w:szCs w:val="20"/>
        </w:rPr>
        <w:t xml:space="preserve"> which fell 5.7 percent. Leisure and hospitality reported the lowest weekly wage at $435 per week. </w:t>
      </w:r>
    </w:p>
    <w:p w14:paraId="08BCA101" w14:textId="732C486A" w:rsidR="006D079C" w:rsidRPr="00107522" w:rsidRDefault="006D079C" w:rsidP="006B33C5">
      <w:pPr>
        <w:pStyle w:val="Heading2"/>
      </w:pPr>
      <w:r w:rsidRPr="00107522">
        <w:t>Business Counts</w:t>
      </w:r>
    </w:p>
    <w:p w14:paraId="5483EBB2" w14:textId="39969CC3" w:rsidR="00E0572D" w:rsidRPr="005068B5" w:rsidRDefault="00E0572D" w:rsidP="006D079C">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Centennial added </w:t>
      </w:r>
      <w:r w:rsidR="00032D3B">
        <w:rPr>
          <w:bCs/>
          <w:iCs/>
          <w:sz w:val="20"/>
          <w:szCs w:val="20"/>
        </w:rPr>
        <w:t>38</w:t>
      </w:r>
      <w:r w:rsidRPr="005068B5">
        <w:rPr>
          <w:bCs/>
          <w:iCs/>
          <w:sz w:val="20"/>
          <w:szCs w:val="20"/>
        </w:rPr>
        <w:t xml:space="preserve"> businesses over-the-year to a total of 5,020 businesses</w:t>
      </w:r>
      <w:r w:rsidR="00032D3B">
        <w:rPr>
          <w:bCs/>
          <w:iCs/>
          <w:sz w:val="20"/>
          <w:szCs w:val="20"/>
        </w:rPr>
        <w:t>.</w:t>
      </w:r>
      <w:r w:rsidRPr="005068B5">
        <w:rPr>
          <w:bCs/>
          <w:iCs/>
          <w:sz w:val="20"/>
          <w:szCs w:val="20"/>
        </w:rPr>
        <w:t xml:space="preserve"> </w:t>
      </w:r>
    </w:p>
    <w:p w14:paraId="0575C90F" w14:textId="04FDC596" w:rsidR="00E0572D" w:rsidRPr="005068B5" w:rsidRDefault="00E0572D" w:rsidP="006D079C">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The professional and business services </w:t>
      </w:r>
      <w:proofErr w:type="spellStart"/>
      <w:r w:rsidRPr="005068B5">
        <w:rPr>
          <w:bCs/>
          <w:iCs/>
          <w:sz w:val="20"/>
          <w:szCs w:val="20"/>
        </w:rPr>
        <w:t>supersector</w:t>
      </w:r>
      <w:proofErr w:type="spellEnd"/>
      <w:r w:rsidRPr="005068B5">
        <w:rPr>
          <w:bCs/>
          <w:iCs/>
          <w:sz w:val="20"/>
          <w:szCs w:val="20"/>
        </w:rPr>
        <w:t xml:space="preserve"> reported the highest business count in Centennial of 1,56</w:t>
      </w:r>
      <w:r w:rsidR="00032D3B">
        <w:rPr>
          <w:bCs/>
          <w:iCs/>
          <w:sz w:val="20"/>
          <w:szCs w:val="20"/>
        </w:rPr>
        <w:t>3</w:t>
      </w:r>
      <w:r w:rsidRPr="005068B5">
        <w:rPr>
          <w:bCs/>
          <w:iCs/>
          <w:sz w:val="20"/>
          <w:szCs w:val="20"/>
        </w:rPr>
        <w:t xml:space="preserve">, growing by just one company over-the-year. Financial activities reported 779 businesses, growing by 15 over-the-year, followed by education and health services which reported 567 businesses during the first quarter of 2019. </w:t>
      </w:r>
    </w:p>
    <w:p w14:paraId="288BB2B5" w14:textId="1691AF03" w:rsidR="00E0572D" w:rsidRPr="005068B5" w:rsidRDefault="00E0572D" w:rsidP="006D079C">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Eight of the 13 </w:t>
      </w:r>
      <w:proofErr w:type="spellStart"/>
      <w:r w:rsidRPr="005068B5">
        <w:rPr>
          <w:bCs/>
          <w:iCs/>
          <w:sz w:val="20"/>
          <w:szCs w:val="20"/>
        </w:rPr>
        <w:t>supersectors</w:t>
      </w:r>
      <w:proofErr w:type="spellEnd"/>
      <w:r w:rsidRPr="005068B5">
        <w:rPr>
          <w:bCs/>
          <w:iCs/>
          <w:sz w:val="20"/>
          <w:szCs w:val="20"/>
        </w:rPr>
        <w:t xml:space="preserve"> reported growth in business count over-the-year, with the information </w:t>
      </w:r>
      <w:proofErr w:type="spellStart"/>
      <w:r w:rsidRPr="005068B5">
        <w:rPr>
          <w:bCs/>
          <w:iCs/>
          <w:sz w:val="20"/>
          <w:szCs w:val="20"/>
        </w:rPr>
        <w:t>supersector</w:t>
      </w:r>
      <w:proofErr w:type="spellEnd"/>
      <w:r w:rsidRPr="005068B5">
        <w:rPr>
          <w:bCs/>
          <w:iCs/>
          <w:sz w:val="20"/>
          <w:szCs w:val="20"/>
        </w:rPr>
        <w:t xml:space="preserve"> reporting the largest percentage increase of 8.1 percent (10 businesses), followed by construction (+2.8 percent) and financial activities (+2 percent). </w:t>
      </w:r>
    </w:p>
    <w:p w14:paraId="7DC86BD7" w14:textId="5C199445" w:rsidR="00E0572D" w:rsidRDefault="00E0572D" w:rsidP="006D079C">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Mining and logging contracted by 7 businesses, or 21.2 percent over-the-year, followed by retail trade (-2.5 percent) and leisure and hospitality (-1.1 </w:t>
      </w:r>
      <w:r w:rsidRPr="00C95417">
        <w:rPr>
          <w:bCs/>
          <w:iCs/>
          <w:sz w:val="20"/>
          <w:szCs w:val="20"/>
        </w:rPr>
        <w:t xml:space="preserve">percent). The utilities and government </w:t>
      </w:r>
      <w:proofErr w:type="spellStart"/>
      <w:r w:rsidRPr="00C95417">
        <w:rPr>
          <w:bCs/>
          <w:iCs/>
          <w:sz w:val="20"/>
          <w:szCs w:val="20"/>
        </w:rPr>
        <w:t>supersectors</w:t>
      </w:r>
      <w:proofErr w:type="spellEnd"/>
      <w:r w:rsidRPr="00C95417">
        <w:rPr>
          <w:bCs/>
          <w:iCs/>
          <w:sz w:val="20"/>
          <w:szCs w:val="20"/>
        </w:rPr>
        <w:t xml:space="preserve"> both reported no change in business count over the period. </w:t>
      </w:r>
    </w:p>
    <w:p w14:paraId="39D31E6C" w14:textId="54A2267A" w:rsidR="00451C8A" w:rsidRPr="00107522" w:rsidRDefault="0024657B" w:rsidP="0024657B">
      <w:pPr>
        <w:pStyle w:val="Heading1"/>
      </w:pPr>
      <w:r w:rsidRPr="00107522">
        <w:t>Centennial High Location Quotient Employment Activity</w:t>
      </w:r>
    </w:p>
    <w:p w14:paraId="7342ECE6" w14:textId="77777777" w:rsidR="00763D1B" w:rsidRPr="004C39AF" w:rsidRDefault="00763D1B" w:rsidP="00455287">
      <w:pPr>
        <w:ind w:right="360"/>
        <w:rPr>
          <w:rFonts w:eastAsia="+mn-ea" w:cs="Arial"/>
          <w:sz w:val="20"/>
          <w:szCs w:val="20"/>
        </w:rPr>
      </w:pPr>
      <w:r w:rsidRPr="004C39AF">
        <w:rPr>
          <w:rFonts w:eastAsia="+mn-ea" w:cs="Arial"/>
          <w:sz w:val="20"/>
          <w:szCs w:val="20"/>
        </w:rPr>
        <w:t xml:space="preserve">The </w:t>
      </w:r>
      <w:r w:rsidR="00455287" w:rsidRPr="004C39AF">
        <w:rPr>
          <w:rFonts w:eastAsia="+mn-ea" w:cs="Arial"/>
          <w:sz w:val="20"/>
          <w:szCs w:val="20"/>
        </w:rPr>
        <w:t>location quotient (</w:t>
      </w:r>
      <w:r w:rsidRPr="004C39AF">
        <w:rPr>
          <w:rFonts w:eastAsia="+mn-ea" w:cs="Arial"/>
          <w:sz w:val="20"/>
          <w:szCs w:val="20"/>
        </w:rPr>
        <w:t>LQ</w:t>
      </w:r>
      <w:r w:rsidR="00455287" w:rsidRPr="004C39AF">
        <w:rPr>
          <w:rFonts w:eastAsia="+mn-ea" w:cs="Arial"/>
          <w:sz w:val="20"/>
          <w:szCs w:val="20"/>
        </w:rPr>
        <w:t>)</w:t>
      </w:r>
      <w:r w:rsidRPr="004C39AF">
        <w:rPr>
          <w:rFonts w:eastAsia="+mn-ea" w:cs="Arial"/>
          <w:sz w:val="20"/>
          <w:szCs w:val="20"/>
        </w:rPr>
        <w:t xml:space="preserve"> is a ratio that compares the region's employment share of a </w:t>
      </w:r>
      <w:proofErr w:type="gramStart"/>
      <w:r w:rsidRPr="004C39AF">
        <w:rPr>
          <w:rFonts w:eastAsia="+mn-ea" w:cs="Arial"/>
          <w:sz w:val="20"/>
          <w:szCs w:val="20"/>
        </w:rPr>
        <w:t>particular industry</w:t>
      </w:r>
      <w:proofErr w:type="gramEnd"/>
      <w:r w:rsidRPr="004C39AF">
        <w:rPr>
          <w:rFonts w:eastAsia="+mn-ea" w:cs="Arial"/>
          <w:sz w:val="20"/>
          <w:szCs w:val="20"/>
        </w:rPr>
        <w:t xml:space="preserve"> with the employment share nationwide. </w:t>
      </w:r>
      <w:r w:rsidR="00455287" w:rsidRPr="004C39AF">
        <w:rPr>
          <w:rFonts w:eastAsia="+mn-ea" w:cs="Arial"/>
          <w:sz w:val="20"/>
          <w:szCs w:val="20"/>
        </w:rPr>
        <w:t>LQ’s were computed for three-digit North American Industry Classification System (NAICS) subsector level codes. Subsectors with a LQ of 1.5 or greater are highlighted below.</w:t>
      </w:r>
    </w:p>
    <w:p w14:paraId="7076A7B6" w14:textId="220A3A2C" w:rsidR="0064075D" w:rsidRPr="0064075D" w:rsidRDefault="0024657B" w:rsidP="0064075D">
      <w:pPr>
        <w:pStyle w:val="Heading2"/>
      </w:pPr>
      <w:r w:rsidRPr="00107522">
        <w:t>Total Employment</w:t>
      </w:r>
      <w:r w:rsidR="00653F15" w:rsidRPr="00107522">
        <w:t xml:space="preserve"> – High LQ’s</w:t>
      </w:r>
    </w:p>
    <w:p w14:paraId="00164B0B" w14:textId="53507A28" w:rsidR="00865F1C" w:rsidRPr="005068B5" w:rsidRDefault="0080041F" w:rsidP="0024657B">
      <w:pPr>
        <w:pStyle w:val="ListParagraph"/>
        <w:numPr>
          <w:ilvl w:val="0"/>
          <w:numId w:val="2"/>
        </w:numPr>
        <w:spacing w:before="120" w:after="120" w:line="240" w:lineRule="auto"/>
        <w:ind w:left="360"/>
        <w:contextualSpacing w:val="0"/>
        <w:rPr>
          <w:bCs/>
          <w:iCs/>
          <w:sz w:val="20"/>
          <w:szCs w:val="20"/>
        </w:rPr>
      </w:pPr>
      <w:r w:rsidRPr="005068B5">
        <w:rPr>
          <w:bCs/>
          <w:iCs/>
          <w:sz w:val="20"/>
          <w:szCs w:val="20"/>
        </w:rPr>
        <w:t>Of</w:t>
      </w:r>
      <w:r w:rsidR="00865F1C" w:rsidRPr="005068B5">
        <w:rPr>
          <w:bCs/>
          <w:iCs/>
          <w:sz w:val="20"/>
          <w:szCs w:val="20"/>
        </w:rPr>
        <w:t xml:space="preserve"> Centennial’s total employm</w:t>
      </w:r>
      <w:r w:rsidR="00A00CFA" w:rsidRPr="005068B5">
        <w:rPr>
          <w:bCs/>
          <w:iCs/>
          <w:sz w:val="20"/>
          <w:szCs w:val="20"/>
        </w:rPr>
        <w:t>ent</w:t>
      </w:r>
      <w:r w:rsidR="008731B0" w:rsidRPr="005068B5">
        <w:rPr>
          <w:bCs/>
          <w:iCs/>
          <w:sz w:val="20"/>
          <w:szCs w:val="20"/>
        </w:rPr>
        <w:t xml:space="preserve">, </w:t>
      </w:r>
      <w:r w:rsidR="004A3419" w:rsidRPr="005068B5">
        <w:rPr>
          <w:bCs/>
          <w:iCs/>
          <w:sz w:val="20"/>
          <w:szCs w:val="20"/>
        </w:rPr>
        <w:t>4</w:t>
      </w:r>
      <w:r w:rsidR="0052172B" w:rsidRPr="005068B5">
        <w:rPr>
          <w:bCs/>
          <w:iCs/>
          <w:sz w:val="20"/>
          <w:szCs w:val="20"/>
        </w:rPr>
        <w:t>5</w:t>
      </w:r>
      <w:r w:rsidR="007D46A0" w:rsidRPr="005068B5">
        <w:rPr>
          <w:bCs/>
          <w:iCs/>
          <w:sz w:val="20"/>
          <w:szCs w:val="20"/>
        </w:rPr>
        <w:t>.</w:t>
      </w:r>
      <w:r w:rsidR="0052172B" w:rsidRPr="005068B5">
        <w:rPr>
          <w:bCs/>
          <w:iCs/>
          <w:sz w:val="20"/>
          <w:szCs w:val="20"/>
        </w:rPr>
        <w:t>5</w:t>
      </w:r>
      <w:r w:rsidRPr="005068B5">
        <w:rPr>
          <w:bCs/>
          <w:iCs/>
          <w:sz w:val="20"/>
          <w:szCs w:val="20"/>
        </w:rPr>
        <w:t xml:space="preserve"> percent</w:t>
      </w:r>
      <w:r w:rsidR="00394676" w:rsidRPr="005068B5">
        <w:rPr>
          <w:bCs/>
          <w:iCs/>
          <w:sz w:val="20"/>
          <w:szCs w:val="20"/>
        </w:rPr>
        <w:t xml:space="preserve"> of the workers are in the identi</w:t>
      </w:r>
      <w:r w:rsidRPr="005068B5">
        <w:rPr>
          <w:bCs/>
          <w:iCs/>
          <w:sz w:val="20"/>
          <w:szCs w:val="20"/>
        </w:rPr>
        <w:t>fied 12</w:t>
      </w:r>
      <w:r w:rsidR="00865F1C" w:rsidRPr="005068B5">
        <w:rPr>
          <w:bCs/>
          <w:iCs/>
          <w:sz w:val="20"/>
          <w:szCs w:val="20"/>
        </w:rPr>
        <w:t xml:space="preserve"> high location quotient subsectors.</w:t>
      </w:r>
    </w:p>
    <w:p w14:paraId="516B29D8" w14:textId="1AB4613F" w:rsidR="0052172B" w:rsidRPr="005068B5" w:rsidRDefault="0052172B" w:rsidP="0024657B">
      <w:pPr>
        <w:pStyle w:val="ListParagraph"/>
        <w:numPr>
          <w:ilvl w:val="0"/>
          <w:numId w:val="2"/>
        </w:numPr>
        <w:spacing w:before="120" w:after="120" w:line="240" w:lineRule="auto"/>
        <w:ind w:left="360"/>
        <w:contextualSpacing w:val="0"/>
        <w:rPr>
          <w:bCs/>
          <w:iCs/>
          <w:sz w:val="20"/>
          <w:szCs w:val="20"/>
        </w:rPr>
      </w:pPr>
      <w:r w:rsidRPr="005068B5">
        <w:rPr>
          <w:noProof/>
        </w:rPr>
        <w:drawing>
          <wp:anchor distT="0" distB="0" distL="114300" distR="114300" simplePos="0" relativeHeight="251920384" behindDoc="0" locked="0" layoutInCell="1" allowOverlap="1" wp14:anchorId="5B221802" wp14:editId="3490EFA7">
            <wp:simplePos x="0" y="0"/>
            <wp:positionH relativeFrom="margin">
              <wp:align>right</wp:align>
            </wp:positionH>
            <wp:positionV relativeFrom="paragraph">
              <wp:posOffset>690549</wp:posOffset>
            </wp:positionV>
            <wp:extent cx="5943600" cy="2679192"/>
            <wp:effectExtent l="0" t="0" r="0" b="698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79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68B5">
        <w:rPr>
          <w:bCs/>
          <w:iCs/>
          <w:sz w:val="20"/>
          <w:szCs w:val="20"/>
        </w:rPr>
        <w:t xml:space="preserve">Professional, scientific, and technical services reported the largest absolute increase, adding 419 people at a rate of 5.1 percent. Merchant wholesalers, durable goods added 141 jobs (+3.1 percent), followed by data processing, hosting, and related services </w:t>
      </w:r>
      <w:r w:rsidR="00032D3B">
        <w:rPr>
          <w:bCs/>
          <w:iCs/>
          <w:sz w:val="20"/>
          <w:szCs w:val="20"/>
        </w:rPr>
        <w:t>that</w:t>
      </w:r>
      <w:r w:rsidRPr="005068B5">
        <w:rPr>
          <w:bCs/>
          <w:iCs/>
          <w:sz w:val="20"/>
          <w:szCs w:val="20"/>
        </w:rPr>
        <w:t xml:space="preserve"> added 100 jobs, an increase of 20 percent over-the-year and the largest percentage increase across subsectors. </w:t>
      </w:r>
    </w:p>
    <w:p w14:paraId="2EB1D047" w14:textId="5097E133" w:rsidR="0052172B" w:rsidRPr="005068B5" w:rsidRDefault="0052172B" w:rsidP="00016351">
      <w:pPr>
        <w:pStyle w:val="ListParagraph"/>
        <w:numPr>
          <w:ilvl w:val="0"/>
          <w:numId w:val="2"/>
        </w:numPr>
        <w:spacing w:before="120" w:after="120" w:line="240" w:lineRule="auto"/>
        <w:ind w:left="360"/>
        <w:contextualSpacing w:val="0"/>
        <w:rPr>
          <w:bCs/>
          <w:iCs/>
          <w:sz w:val="20"/>
          <w:szCs w:val="20"/>
        </w:rPr>
      </w:pPr>
      <w:r w:rsidRPr="005068B5">
        <w:rPr>
          <w:bCs/>
          <w:iCs/>
          <w:sz w:val="20"/>
          <w:szCs w:val="20"/>
        </w:rPr>
        <w:lastRenderedPageBreak/>
        <w:t xml:space="preserve">Employment in seven of the 12 subsectors contracted over-the-year, with the largest decreases in lessors of nonfinancial intangible assets (-34.6 percent), credit intermediation and related activities (-8.2 percent), and telecommunications (-6 percent). Overall, employment increased by </w:t>
      </w:r>
      <w:r w:rsidR="001E1100" w:rsidRPr="005068B5">
        <w:rPr>
          <w:bCs/>
          <w:iCs/>
          <w:sz w:val="20"/>
          <w:szCs w:val="20"/>
        </w:rPr>
        <w:t>29</w:t>
      </w:r>
      <w:r w:rsidRPr="005068B5">
        <w:rPr>
          <w:bCs/>
          <w:iCs/>
          <w:sz w:val="20"/>
          <w:szCs w:val="20"/>
        </w:rPr>
        <w:t>6 jobs across all subsectors.</w:t>
      </w:r>
    </w:p>
    <w:p w14:paraId="3FCFEC53" w14:textId="6258F1B7" w:rsidR="009F4B5F" w:rsidRPr="0052172B" w:rsidRDefault="0052172B" w:rsidP="0052172B">
      <w:pPr>
        <w:spacing w:before="120" w:after="120" w:line="240" w:lineRule="auto"/>
        <w:rPr>
          <w:bCs/>
          <w:iCs/>
          <w:sz w:val="20"/>
          <w:szCs w:val="20"/>
        </w:rPr>
      </w:pPr>
      <w:r>
        <w:rPr>
          <w:bCs/>
          <w:iCs/>
          <w:noProof/>
          <w:sz w:val="20"/>
          <w:szCs w:val="20"/>
        </w:rPr>
        <w:drawing>
          <wp:anchor distT="0" distB="0" distL="114300" distR="114300" simplePos="0" relativeHeight="251921408" behindDoc="0" locked="0" layoutInCell="1" allowOverlap="1" wp14:anchorId="1BFD2FD5" wp14:editId="093DDAE4">
            <wp:simplePos x="0" y="0"/>
            <wp:positionH relativeFrom="margin">
              <wp:align>center</wp:align>
            </wp:positionH>
            <wp:positionV relativeFrom="paragraph">
              <wp:posOffset>197429</wp:posOffset>
            </wp:positionV>
            <wp:extent cx="5559552" cy="2935224"/>
            <wp:effectExtent l="0" t="0" r="317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59552" cy="2935224"/>
                    </a:xfrm>
                    <a:prstGeom prst="rect">
                      <a:avLst/>
                    </a:prstGeom>
                    <a:noFill/>
                  </pic:spPr>
                </pic:pic>
              </a:graphicData>
            </a:graphic>
          </wp:anchor>
        </w:drawing>
      </w:r>
      <w:r w:rsidR="00016351" w:rsidRPr="0052172B">
        <w:rPr>
          <w:bCs/>
          <w:iCs/>
          <w:sz w:val="20"/>
          <w:szCs w:val="20"/>
        </w:rPr>
        <w:t xml:space="preserve"> </w:t>
      </w:r>
    </w:p>
    <w:p w14:paraId="6392347F" w14:textId="60B6DD69" w:rsidR="007C5F4F" w:rsidRPr="00107522" w:rsidRDefault="007C5F4F" w:rsidP="00FF7EF2">
      <w:pPr>
        <w:spacing w:before="120" w:after="120" w:line="240" w:lineRule="auto"/>
        <w:rPr>
          <w:bCs/>
          <w:iCs/>
          <w:sz w:val="20"/>
          <w:szCs w:val="20"/>
        </w:rPr>
      </w:pPr>
    </w:p>
    <w:p w14:paraId="7AF4D09D" w14:textId="79A9B0E1" w:rsidR="007C5F4F" w:rsidRPr="00107522" w:rsidRDefault="007C5F4F" w:rsidP="007C5F4F">
      <w:pPr>
        <w:pStyle w:val="Heading2"/>
      </w:pPr>
      <w:r w:rsidRPr="00107522">
        <w:t>Average Wage</w:t>
      </w:r>
      <w:r w:rsidR="00653F15" w:rsidRPr="00107522">
        <w:t xml:space="preserve"> – High LQ’s</w:t>
      </w:r>
    </w:p>
    <w:p w14:paraId="39668CA9" w14:textId="15037E10" w:rsidR="001E1100" w:rsidRPr="005068B5" w:rsidRDefault="001E1100" w:rsidP="00804DA4">
      <w:pPr>
        <w:pStyle w:val="ListParagraph"/>
        <w:numPr>
          <w:ilvl w:val="0"/>
          <w:numId w:val="2"/>
        </w:numPr>
        <w:spacing w:before="120" w:after="120" w:line="240" w:lineRule="auto"/>
        <w:ind w:left="360"/>
        <w:contextualSpacing w:val="0"/>
        <w:rPr>
          <w:bCs/>
          <w:iCs/>
          <w:sz w:val="20"/>
          <w:szCs w:val="20"/>
        </w:rPr>
      </w:pPr>
      <w:r w:rsidRPr="005068B5">
        <w:rPr>
          <w:bCs/>
          <w:iCs/>
          <w:sz w:val="20"/>
          <w:szCs w:val="20"/>
        </w:rPr>
        <w:t>Nine of the 12 subsectors in Centennial recorded growth in the average weekly wage between the first quarters of 2018 and 2019. Data processing, hosting, and related services reported the largest percentage and absolute increase, rising by 52.9 percent, or $2,167, over-the-year. The large increase was due to a high-valued company that entered the data series, brin</w:t>
      </w:r>
      <w:r w:rsidR="00032D3B">
        <w:rPr>
          <w:bCs/>
          <w:iCs/>
          <w:sz w:val="20"/>
          <w:szCs w:val="20"/>
        </w:rPr>
        <w:t>g</w:t>
      </w:r>
      <w:r w:rsidRPr="005068B5">
        <w:rPr>
          <w:bCs/>
          <w:iCs/>
          <w:sz w:val="20"/>
          <w:szCs w:val="20"/>
        </w:rPr>
        <w:t xml:space="preserve">ing up the weekly wage across the subsector. </w:t>
      </w:r>
    </w:p>
    <w:p w14:paraId="5343A0BA" w14:textId="6D1E4328" w:rsidR="001E1100" w:rsidRPr="005068B5" w:rsidRDefault="001E1100" w:rsidP="00804DA4">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Construction of buildings, and heavy and civil engineering construction reported the largest over-the-year decreases, falling 7.6 percent (-$166 per week) and 5.3 percent (-$81 per week), respectively. </w:t>
      </w:r>
    </w:p>
    <w:p w14:paraId="3D0350CA" w14:textId="1C38A3BA" w:rsidR="001E1100" w:rsidRPr="005068B5" w:rsidRDefault="001E1100" w:rsidP="00804DA4">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The amusement, gambling, and recreation industries reported the lowest weekly wage at $468 per week, while the data processing, hosting, and related services subsector reported the highest weekly wage at $6,263 per week. </w:t>
      </w:r>
    </w:p>
    <w:p w14:paraId="18D6AD35" w14:textId="361D9DCA" w:rsidR="001E1100" w:rsidRPr="001B574F" w:rsidRDefault="00B40558" w:rsidP="001B574F">
      <w:pPr>
        <w:pStyle w:val="Heading2"/>
      </w:pPr>
      <w:r w:rsidRPr="00107522">
        <w:t>Business Counts</w:t>
      </w:r>
      <w:r w:rsidR="00653F15" w:rsidRPr="00107522">
        <w:t xml:space="preserve"> – High LQ’s</w:t>
      </w:r>
    </w:p>
    <w:p w14:paraId="4D40E991" w14:textId="293B315D" w:rsidR="00761409" w:rsidRPr="005068B5" w:rsidRDefault="00761409" w:rsidP="00B40558">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The professional, scientific, and technical services subsector had the highest business count in Centennial </w:t>
      </w:r>
      <w:r w:rsidR="001E1100" w:rsidRPr="005068B5">
        <w:rPr>
          <w:bCs/>
          <w:iCs/>
          <w:sz w:val="20"/>
          <w:szCs w:val="20"/>
        </w:rPr>
        <w:t>at</w:t>
      </w:r>
      <w:r w:rsidRPr="005068B5">
        <w:rPr>
          <w:bCs/>
          <w:iCs/>
          <w:sz w:val="20"/>
          <w:szCs w:val="20"/>
        </w:rPr>
        <w:t xml:space="preserve"> 1,1</w:t>
      </w:r>
      <w:r w:rsidR="001B574F" w:rsidRPr="005068B5">
        <w:rPr>
          <w:bCs/>
          <w:iCs/>
          <w:sz w:val="20"/>
          <w:szCs w:val="20"/>
        </w:rPr>
        <w:t>44</w:t>
      </w:r>
      <w:r w:rsidRPr="005068B5">
        <w:rPr>
          <w:bCs/>
          <w:iCs/>
          <w:sz w:val="20"/>
          <w:szCs w:val="20"/>
        </w:rPr>
        <w:t xml:space="preserve"> businesses. This </w:t>
      </w:r>
      <w:r w:rsidR="00394676" w:rsidRPr="005068B5">
        <w:rPr>
          <w:bCs/>
          <w:iCs/>
          <w:sz w:val="20"/>
          <w:szCs w:val="20"/>
        </w:rPr>
        <w:t>was</w:t>
      </w:r>
      <w:r w:rsidRPr="005068B5">
        <w:rPr>
          <w:bCs/>
          <w:iCs/>
          <w:sz w:val="20"/>
          <w:szCs w:val="20"/>
        </w:rPr>
        <w:t xml:space="preserve"> a </w:t>
      </w:r>
      <w:r w:rsidR="001B574F" w:rsidRPr="005068B5">
        <w:rPr>
          <w:bCs/>
          <w:iCs/>
          <w:sz w:val="20"/>
          <w:szCs w:val="20"/>
        </w:rPr>
        <w:t>0.9</w:t>
      </w:r>
      <w:r w:rsidRPr="005068B5">
        <w:rPr>
          <w:bCs/>
          <w:iCs/>
          <w:sz w:val="20"/>
          <w:szCs w:val="20"/>
        </w:rPr>
        <w:t xml:space="preserve"> percent increase over-the-year,</w:t>
      </w:r>
      <w:r w:rsidR="001B574F" w:rsidRPr="005068B5">
        <w:rPr>
          <w:bCs/>
          <w:iCs/>
          <w:sz w:val="20"/>
          <w:szCs w:val="20"/>
        </w:rPr>
        <w:t xml:space="preserve"> representing an additional 10 businesses during the period.</w:t>
      </w:r>
      <w:r w:rsidRPr="005068B5">
        <w:rPr>
          <w:bCs/>
          <w:iCs/>
          <w:sz w:val="20"/>
          <w:szCs w:val="20"/>
        </w:rPr>
        <w:t xml:space="preserve"> </w:t>
      </w:r>
    </w:p>
    <w:p w14:paraId="5EE19499" w14:textId="0F6BAFE9" w:rsidR="001B574F" w:rsidRPr="005068B5" w:rsidRDefault="001B574F" w:rsidP="00B40558">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Seven of the 12 subsectors reported increases in business count, with data processing, hosting and related services reporting the largest percentage increase at 28.6 percent growth, followed by construction of buildings (+8.5 percent) and merchant wholesalers, durable goods (+5.2 percent), which also had the largest absolute increase of 13 additional businesses during the period. Telecommunications fell 4.8 percent, decreasing by 1 business to 20 throughout Centennial, followed by insurance carriers and related activities </w:t>
      </w:r>
      <w:r w:rsidR="00032D3B">
        <w:rPr>
          <w:bCs/>
          <w:iCs/>
          <w:sz w:val="20"/>
          <w:szCs w:val="20"/>
        </w:rPr>
        <w:t>that</w:t>
      </w:r>
      <w:r w:rsidRPr="005068B5">
        <w:rPr>
          <w:bCs/>
          <w:iCs/>
          <w:sz w:val="20"/>
          <w:szCs w:val="20"/>
        </w:rPr>
        <w:t xml:space="preserve"> fell 3.2 percent, or by 7 businesses, during the period. </w:t>
      </w:r>
    </w:p>
    <w:p w14:paraId="22CE7BFF" w14:textId="77777777" w:rsidR="007C59B5" w:rsidRPr="00107522" w:rsidRDefault="00653F15" w:rsidP="007C59B5">
      <w:pPr>
        <w:pStyle w:val="Heading2"/>
      </w:pPr>
      <w:r w:rsidRPr="00107522">
        <w:lastRenderedPageBreak/>
        <w:t>Analysis – High LQ’s</w:t>
      </w:r>
    </w:p>
    <w:p w14:paraId="6677ADF1" w14:textId="77777777" w:rsidR="00785811" w:rsidRPr="004773B0" w:rsidRDefault="00785811" w:rsidP="006F28FB">
      <w:pPr>
        <w:ind w:right="360"/>
        <w:rPr>
          <w:rFonts w:cs="Arial"/>
          <w:sz w:val="20"/>
          <w:szCs w:val="20"/>
        </w:rPr>
      </w:pPr>
      <w:r w:rsidRPr="004773B0">
        <w:rPr>
          <w:rFonts w:eastAsia="+mn-ea" w:cs="Arial"/>
          <w:sz w:val="20"/>
          <w:szCs w:val="20"/>
        </w:rPr>
        <w:t>Bubble charts are popular tools used to illustrate industry clusters. These charts allow multiple variables to be plotted within the same graph, making it easy to assess relative economic performance. Bubble charts are often used for pinpointing priority industries since they allow visual comparisons of economic measures.</w:t>
      </w:r>
    </w:p>
    <w:p w14:paraId="1858DB42" w14:textId="77777777" w:rsidR="00785811" w:rsidRPr="004773B0" w:rsidRDefault="00785811" w:rsidP="006F28FB">
      <w:pPr>
        <w:ind w:right="360"/>
        <w:rPr>
          <w:rFonts w:eastAsia="+mn-ea" w:cs="Arial"/>
          <w:i/>
          <w:iCs/>
          <w:sz w:val="20"/>
          <w:szCs w:val="20"/>
        </w:rPr>
      </w:pPr>
      <w:r w:rsidRPr="004773B0">
        <w:rPr>
          <w:rFonts w:eastAsia="+mn-ea" w:cs="Arial"/>
          <w:sz w:val="20"/>
          <w:szCs w:val="20"/>
        </w:rPr>
        <w:t>This chart illustrates industry cluster relationships for the 1</w:t>
      </w:r>
      <w:r w:rsidR="00F24448" w:rsidRPr="004773B0">
        <w:rPr>
          <w:rFonts w:eastAsia="+mn-ea" w:cs="Arial"/>
          <w:sz w:val="20"/>
          <w:szCs w:val="20"/>
        </w:rPr>
        <w:t>2</w:t>
      </w:r>
      <w:r w:rsidRPr="004773B0">
        <w:rPr>
          <w:rFonts w:eastAsia="+mn-ea" w:cs="Arial"/>
          <w:sz w:val="20"/>
          <w:szCs w:val="20"/>
        </w:rPr>
        <w:t xml:space="preserve"> </w:t>
      </w:r>
      <w:r w:rsidR="00E02E54" w:rsidRPr="004773B0">
        <w:rPr>
          <w:rFonts w:eastAsia="+mn-ea" w:cs="Arial"/>
          <w:sz w:val="20"/>
          <w:szCs w:val="20"/>
        </w:rPr>
        <w:t>high location quotient subsectors</w:t>
      </w:r>
      <w:r w:rsidR="00865F1C" w:rsidRPr="004773B0">
        <w:rPr>
          <w:rFonts w:eastAsia="+mn-ea" w:cs="Arial"/>
          <w:sz w:val="20"/>
          <w:szCs w:val="20"/>
        </w:rPr>
        <w:t>. The following four</w:t>
      </w:r>
      <w:r w:rsidRPr="004773B0">
        <w:rPr>
          <w:rFonts w:eastAsia="+mn-ea" w:cs="Arial"/>
          <w:sz w:val="20"/>
          <w:szCs w:val="20"/>
        </w:rPr>
        <w:t xml:space="preserve"> variables are plotted:</w:t>
      </w:r>
      <w:r w:rsidRPr="004773B0">
        <w:rPr>
          <w:rFonts w:eastAsia="+mn-ea" w:cs="Arial"/>
          <w:i/>
          <w:iCs/>
          <w:sz w:val="20"/>
          <w:szCs w:val="20"/>
        </w:rPr>
        <w:t xml:space="preserve"> </w:t>
      </w:r>
    </w:p>
    <w:p w14:paraId="23E02B40" w14:textId="31483026" w:rsidR="00785811" w:rsidRPr="004773B0" w:rsidRDefault="00785811" w:rsidP="006F28FB">
      <w:pPr>
        <w:pStyle w:val="ListParagraph"/>
        <w:numPr>
          <w:ilvl w:val="0"/>
          <w:numId w:val="2"/>
        </w:numPr>
        <w:spacing w:before="120" w:after="120" w:line="240" w:lineRule="auto"/>
        <w:ind w:left="360"/>
        <w:contextualSpacing w:val="0"/>
        <w:rPr>
          <w:bCs/>
          <w:iCs/>
          <w:sz w:val="20"/>
          <w:szCs w:val="20"/>
        </w:rPr>
      </w:pPr>
      <w:r w:rsidRPr="004773B0">
        <w:rPr>
          <w:bCs/>
          <w:iCs/>
          <w:sz w:val="20"/>
          <w:szCs w:val="20"/>
        </w:rPr>
        <w:t xml:space="preserve">One-year direct employment growth, </w:t>
      </w:r>
      <w:r w:rsidR="00402BE9">
        <w:rPr>
          <w:bCs/>
          <w:iCs/>
          <w:sz w:val="20"/>
          <w:szCs w:val="20"/>
        </w:rPr>
        <w:t>1</w:t>
      </w:r>
      <w:r w:rsidR="00E02E54" w:rsidRPr="004773B0">
        <w:rPr>
          <w:bCs/>
          <w:iCs/>
          <w:sz w:val="20"/>
          <w:szCs w:val="20"/>
        </w:rPr>
        <w:t xml:space="preserve">Q </w:t>
      </w:r>
      <w:r w:rsidR="004D2E58" w:rsidRPr="004773B0">
        <w:rPr>
          <w:bCs/>
          <w:iCs/>
          <w:sz w:val="20"/>
          <w:szCs w:val="20"/>
        </w:rPr>
        <w:t>201</w:t>
      </w:r>
      <w:r w:rsidR="00402BE9">
        <w:rPr>
          <w:bCs/>
          <w:iCs/>
          <w:sz w:val="20"/>
          <w:szCs w:val="20"/>
        </w:rPr>
        <w:t>8</w:t>
      </w:r>
      <w:r w:rsidRPr="004773B0">
        <w:rPr>
          <w:bCs/>
          <w:iCs/>
          <w:sz w:val="20"/>
          <w:szCs w:val="20"/>
        </w:rPr>
        <w:t xml:space="preserve"> to </w:t>
      </w:r>
      <w:r w:rsidR="00402BE9">
        <w:rPr>
          <w:bCs/>
          <w:iCs/>
          <w:sz w:val="20"/>
          <w:szCs w:val="20"/>
        </w:rPr>
        <w:t>1</w:t>
      </w:r>
      <w:r w:rsidR="00E02E54" w:rsidRPr="004773B0">
        <w:rPr>
          <w:bCs/>
          <w:iCs/>
          <w:sz w:val="20"/>
          <w:szCs w:val="20"/>
        </w:rPr>
        <w:t xml:space="preserve">Q </w:t>
      </w:r>
      <w:r w:rsidR="004D2E58" w:rsidRPr="004773B0">
        <w:rPr>
          <w:bCs/>
          <w:iCs/>
          <w:sz w:val="20"/>
          <w:szCs w:val="20"/>
        </w:rPr>
        <w:t>201</w:t>
      </w:r>
      <w:r w:rsidR="00402BE9">
        <w:rPr>
          <w:bCs/>
          <w:iCs/>
          <w:sz w:val="20"/>
          <w:szCs w:val="20"/>
        </w:rPr>
        <w:t>9</w:t>
      </w:r>
      <w:r w:rsidR="001364B5" w:rsidRPr="004773B0">
        <w:rPr>
          <w:bCs/>
          <w:iCs/>
          <w:sz w:val="20"/>
          <w:szCs w:val="20"/>
        </w:rPr>
        <w:t>,</w:t>
      </w:r>
      <w:r w:rsidRPr="004773B0">
        <w:rPr>
          <w:bCs/>
          <w:iCs/>
          <w:sz w:val="20"/>
          <w:szCs w:val="20"/>
        </w:rPr>
        <w:t xml:space="preserve"> on the x-axis (horizontal); </w:t>
      </w:r>
    </w:p>
    <w:p w14:paraId="69E7F989" w14:textId="23859742" w:rsidR="00270117" w:rsidRPr="004773B0" w:rsidRDefault="00785811" w:rsidP="006F28FB">
      <w:pPr>
        <w:pStyle w:val="ListParagraph"/>
        <w:numPr>
          <w:ilvl w:val="0"/>
          <w:numId w:val="2"/>
        </w:numPr>
        <w:spacing w:before="120" w:after="120" w:line="240" w:lineRule="auto"/>
        <w:ind w:left="360"/>
        <w:contextualSpacing w:val="0"/>
        <w:rPr>
          <w:bCs/>
          <w:iCs/>
          <w:sz w:val="20"/>
          <w:szCs w:val="20"/>
        </w:rPr>
      </w:pPr>
      <w:r w:rsidRPr="004773B0">
        <w:rPr>
          <w:bCs/>
          <w:iCs/>
          <w:sz w:val="20"/>
          <w:szCs w:val="20"/>
        </w:rPr>
        <w:t>The industry’s location quotient</w:t>
      </w:r>
      <w:r w:rsidR="001364B5" w:rsidRPr="004773B0">
        <w:rPr>
          <w:bCs/>
          <w:iCs/>
          <w:sz w:val="20"/>
          <w:szCs w:val="20"/>
        </w:rPr>
        <w:t xml:space="preserve"> on the y-axis (vertical); </w:t>
      </w:r>
    </w:p>
    <w:p w14:paraId="035CDAF5" w14:textId="2C6E4B3F" w:rsidR="00785811" w:rsidRPr="004773B0" w:rsidRDefault="00785811" w:rsidP="006F28FB">
      <w:pPr>
        <w:pStyle w:val="ListParagraph"/>
        <w:numPr>
          <w:ilvl w:val="0"/>
          <w:numId w:val="2"/>
        </w:numPr>
        <w:spacing w:before="120" w:after="120" w:line="240" w:lineRule="auto"/>
        <w:ind w:left="360"/>
        <w:contextualSpacing w:val="0"/>
        <w:rPr>
          <w:bCs/>
          <w:iCs/>
          <w:sz w:val="20"/>
          <w:szCs w:val="20"/>
        </w:rPr>
      </w:pPr>
      <w:r w:rsidRPr="004773B0">
        <w:rPr>
          <w:bCs/>
          <w:iCs/>
          <w:sz w:val="20"/>
          <w:szCs w:val="20"/>
        </w:rPr>
        <w:t xml:space="preserve">Employment size of the industry, </w:t>
      </w:r>
      <w:r w:rsidR="00402BE9">
        <w:rPr>
          <w:bCs/>
          <w:iCs/>
          <w:sz w:val="20"/>
          <w:szCs w:val="20"/>
        </w:rPr>
        <w:t>1</w:t>
      </w:r>
      <w:r w:rsidR="00DC78B9" w:rsidRPr="004773B0">
        <w:rPr>
          <w:bCs/>
          <w:iCs/>
          <w:sz w:val="20"/>
          <w:szCs w:val="20"/>
        </w:rPr>
        <w:t xml:space="preserve">Q </w:t>
      </w:r>
      <w:r w:rsidR="004D2E58" w:rsidRPr="004773B0">
        <w:rPr>
          <w:bCs/>
          <w:iCs/>
          <w:sz w:val="20"/>
          <w:szCs w:val="20"/>
        </w:rPr>
        <w:t>201</w:t>
      </w:r>
      <w:r w:rsidR="00402BE9">
        <w:rPr>
          <w:bCs/>
          <w:iCs/>
          <w:sz w:val="20"/>
          <w:szCs w:val="20"/>
        </w:rPr>
        <w:t>9</w:t>
      </w:r>
      <w:r w:rsidRPr="004773B0">
        <w:rPr>
          <w:bCs/>
          <w:iCs/>
          <w:sz w:val="20"/>
          <w:szCs w:val="20"/>
        </w:rPr>
        <w:t>; indicated by the size of the bubble</w:t>
      </w:r>
      <w:r w:rsidR="001364B5" w:rsidRPr="004773B0">
        <w:rPr>
          <w:bCs/>
          <w:iCs/>
          <w:sz w:val="20"/>
          <w:szCs w:val="20"/>
        </w:rPr>
        <w:t>;</w:t>
      </w:r>
    </w:p>
    <w:p w14:paraId="1C48A8D8" w14:textId="06A5A7B6" w:rsidR="00865F1C" w:rsidRPr="004773B0" w:rsidRDefault="00865F1C" w:rsidP="006F28FB">
      <w:pPr>
        <w:pStyle w:val="ListParagraph"/>
        <w:numPr>
          <w:ilvl w:val="0"/>
          <w:numId w:val="2"/>
        </w:numPr>
        <w:spacing w:before="120" w:after="120" w:line="240" w:lineRule="auto"/>
        <w:ind w:left="360"/>
        <w:contextualSpacing w:val="0"/>
        <w:rPr>
          <w:bCs/>
          <w:iCs/>
          <w:sz w:val="20"/>
          <w:szCs w:val="20"/>
        </w:rPr>
      </w:pPr>
      <w:r w:rsidRPr="004773B0">
        <w:rPr>
          <w:bCs/>
          <w:iCs/>
          <w:sz w:val="20"/>
          <w:szCs w:val="20"/>
        </w:rPr>
        <w:t xml:space="preserve">Subsectors that are included in the same </w:t>
      </w:r>
      <w:proofErr w:type="spellStart"/>
      <w:r w:rsidRPr="004773B0">
        <w:rPr>
          <w:bCs/>
          <w:iCs/>
          <w:sz w:val="20"/>
          <w:szCs w:val="20"/>
        </w:rPr>
        <w:t>supersector</w:t>
      </w:r>
      <w:proofErr w:type="spellEnd"/>
      <w:r w:rsidRPr="004773B0">
        <w:rPr>
          <w:bCs/>
          <w:iCs/>
          <w:sz w:val="20"/>
          <w:szCs w:val="20"/>
        </w:rPr>
        <w:t xml:space="preserve"> are </w:t>
      </w:r>
      <w:r w:rsidR="00DC78B9" w:rsidRPr="004773B0">
        <w:rPr>
          <w:bCs/>
          <w:iCs/>
          <w:sz w:val="20"/>
          <w:szCs w:val="20"/>
        </w:rPr>
        <w:t>the same color</w:t>
      </w:r>
      <w:r w:rsidR="001364B5" w:rsidRPr="004773B0">
        <w:rPr>
          <w:bCs/>
          <w:iCs/>
          <w:sz w:val="20"/>
          <w:szCs w:val="20"/>
        </w:rPr>
        <w:t>.</w:t>
      </w:r>
    </w:p>
    <w:p w14:paraId="377B0A96" w14:textId="1E497247" w:rsidR="00032D3B" w:rsidRDefault="004D660C" w:rsidP="00FD3695">
      <w:pPr>
        <w:rPr>
          <w:rFonts w:eastAsia="+mn-ea" w:cs="Arial"/>
          <w:sz w:val="20"/>
          <w:szCs w:val="20"/>
        </w:rPr>
      </w:pPr>
      <w:r>
        <w:rPr>
          <w:bCs/>
          <w:iCs/>
          <w:noProof/>
          <w:sz w:val="20"/>
          <w:szCs w:val="20"/>
        </w:rPr>
        <w:drawing>
          <wp:anchor distT="0" distB="0" distL="114300" distR="114300" simplePos="0" relativeHeight="251934720" behindDoc="0" locked="0" layoutInCell="1" allowOverlap="1" wp14:anchorId="3B8A4A4D" wp14:editId="02B1BEBA">
            <wp:simplePos x="0" y="0"/>
            <wp:positionH relativeFrom="margin">
              <wp:align>center</wp:align>
            </wp:positionH>
            <wp:positionV relativeFrom="paragraph">
              <wp:posOffset>155105</wp:posOffset>
            </wp:positionV>
            <wp:extent cx="6574536" cy="4105656"/>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4536" cy="4105656"/>
                    </a:xfrm>
                    <a:prstGeom prst="rect">
                      <a:avLst/>
                    </a:prstGeom>
                    <a:noFill/>
                  </pic:spPr>
                </pic:pic>
              </a:graphicData>
            </a:graphic>
          </wp:anchor>
        </w:drawing>
      </w:r>
    </w:p>
    <w:p w14:paraId="32A0AFAA" w14:textId="5550FAB3" w:rsidR="00843081" w:rsidRPr="008D1488" w:rsidRDefault="00E02E54" w:rsidP="008D1488">
      <w:pPr>
        <w:rPr>
          <w:rFonts w:eastAsia="+mn-ea" w:cs="Arial"/>
          <w:sz w:val="20"/>
          <w:szCs w:val="20"/>
        </w:rPr>
      </w:pPr>
      <w:r w:rsidRPr="004773B0">
        <w:rPr>
          <w:rFonts w:eastAsia="+mn-ea" w:cs="Arial"/>
          <w:sz w:val="20"/>
          <w:szCs w:val="20"/>
        </w:rPr>
        <w:t>The dotted red line on the graph represents the location quotient equal to 1</w:t>
      </w:r>
      <w:r w:rsidR="00DC78B9" w:rsidRPr="004773B0">
        <w:rPr>
          <w:rFonts w:eastAsia="+mn-ea" w:cs="Arial"/>
          <w:sz w:val="20"/>
          <w:szCs w:val="20"/>
        </w:rPr>
        <w:t>.5</w:t>
      </w:r>
      <w:r w:rsidRPr="004773B0">
        <w:rPr>
          <w:rFonts w:eastAsia="+mn-ea" w:cs="Arial"/>
          <w:sz w:val="20"/>
          <w:szCs w:val="20"/>
        </w:rPr>
        <w:t xml:space="preserve"> to easily identify the bubbles that are above this demarcatio</w:t>
      </w:r>
      <w:r w:rsidR="00A40ACA" w:rsidRPr="004773B0">
        <w:rPr>
          <w:rFonts w:eastAsia="+mn-ea" w:cs="Arial"/>
          <w:sz w:val="20"/>
          <w:szCs w:val="20"/>
        </w:rPr>
        <w:t>n.</w:t>
      </w:r>
    </w:p>
    <w:p w14:paraId="60857868" w14:textId="0D7F72B4" w:rsidR="007C59B5" w:rsidRPr="00107522" w:rsidRDefault="007C59B5" w:rsidP="007C59B5">
      <w:pPr>
        <w:pStyle w:val="Heading1"/>
      </w:pPr>
      <w:r w:rsidRPr="00107522">
        <w:lastRenderedPageBreak/>
        <w:t>Labor Force</w:t>
      </w:r>
    </w:p>
    <w:p w14:paraId="7B691375" w14:textId="64BA2BE6" w:rsidR="00327DED" w:rsidRPr="00107522" w:rsidRDefault="00327DED" w:rsidP="00653F15">
      <w:pPr>
        <w:pStyle w:val="Heading2"/>
      </w:pPr>
      <w:r w:rsidRPr="00107522">
        <w:t>Unemployment Rate</w:t>
      </w:r>
      <w:r w:rsidR="00A36D1D" w:rsidRPr="00A36D1D">
        <w:rPr>
          <w:noProof/>
        </w:rPr>
        <w:t xml:space="preserve"> </w:t>
      </w:r>
    </w:p>
    <w:p w14:paraId="04B02FAF" w14:textId="55330E5D" w:rsidR="00843081" w:rsidRPr="005068B5" w:rsidRDefault="00C95417" w:rsidP="00130CBA">
      <w:pPr>
        <w:pStyle w:val="ListParagraph"/>
        <w:numPr>
          <w:ilvl w:val="0"/>
          <w:numId w:val="2"/>
        </w:numPr>
        <w:spacing w:before="120" w:after="120" w:line="240" w:lineRule="auto"/>
        <w:ind w:left="360"/>
        <w:contextualSpacing w:val="0"/>
        <w:rPr>
          <w:bCs/>
          <w:iCs/>
          <w:sz w:val="20"/>
          <w:szCs w:val="20"/>
        </w:rPr>
      </w:pPr>
      <w:r>
        <w:rPr>
          <w:bCs/>
          <w:iCs/>
          <w:noProof/>
          <w:sz w:val="20"/>
          <w:szCs w:val="20"/>
        </w:rPr>
        <w:drawing>
          <wp:anchor distT="0" distB="0" distL="114300" distR="114300" simplePos="0" relativeHeight="251904000" behindDoc="0" locked="0" layoutInCell="1" allowOverlap="1" wp14:anchorId="1093F4CB" wp14:editId="27D4A98A">
            <wp:simplePos x="0" y="0"/>
            <wp:positionH relativeFrom="margin">
              <wp:posOffset>2624455</wp:posOffset>
            </wp:positionH>
            <wp:positionV relativeFrom="paragraph">
              <wp:posOffset>90695</wp:posOffset>
            </wp:positionV>
            <wp:extent cx="3319272" cy="202996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9272" cy="2029968"/>
                    </a:xfrm>
                    <a:prstGeom prst="rect">
                      <a:avLst/>
                    </a:prstGeom>
                    <a:noFill/>
                  </pic:spPr>
                </pic:pic>
              </a:graphicData>
            </a:graphic>
          </wp:anchor>
        </w:drawing>
      </w:r>
      <w:r w:rsidR="00843081" w:rsidRPr="005068B5">
        <w:rPr>
          <w:bCs/>
          <w:iCs/>
          <w:sz w:val="20"/>
          <w:szCs w:val="20"/>
        </w:rPr>
        <w:t xml:space="preserve">The labor force in Centennial rose 1.8 percent between the second quarters of 2018 and 2019, adding 1,154 people to the labor force. Arapahoe County reported a 1.6 percent increase over-the-year, while Metro Denver increased 1.7 percent, adding 31,062 people to the labor force over-the-year. </w:t>
      </w:r>
    </w:p>
    <w:p w14:paraId="118E7DEC" w14:textId="600E3E91" w:rsidR="00843081" w:rsidRPr="005068B5" w:rsidRDefault="00843081" w:rsidP="00130CBA">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 unemployment rate in Centennial fell 0.1 percentage points over-the-year to 2.5 percent and down 0.6 percentage points from the previous quarter.</w:t>
      </w:r>
      <w:r w:rsidR="00707574" w:rsidRPr="005068B5">
        <w:rPr>
          <w:bCs/>
          <w:iCs/>
          <w:sz w:val="20"/>
          <w:szCs w:val="20"/>
        </w:rPr>
        <w:t xml:space="preserve"> Arapahoe County reported an unemployment rate of 2.7 percent, down 0.3 percentage points from the same time last year.</w:t>
      </w:r>
      <w:r w:rsidRPr="005068B5">
        <w:rPr>
          <w:bCs/>
          <w:iCs/>
          <w:sz w:val="20"/>
          <w:szCs w:val="20"/>
        </w:rPr>
        <w:t xml:space="preserve"> Unemployment in Metro Denver fell 0.3 percentage points to 2.6 percent, while </w:t>
      </w:r>
      <w:r w:rsidR="00707574" w:rsidRPr="005068B5">
        <w:rPr>
          <w:bCs/>
          <w:iCs/>
          <w:sz w:val="20"/>
          <w:szCs w:val="20"/>
        </w:rPr>
        <w:t xml:space="preserve">Colorado unemployment fell 0.2 percentage points to 2.8 percent. Nationally, unemployment fell 0.3 percentage points over-the-year to 3.5 percent unemployment. </w:t>
      </w:r>
    </w:p>
    <w:p w14:paraId="3C0A50A0" w14:textId="47098E3F" w:rsidR="00C96375" w:rsidRPr="005068B5" w:rsidRDefault="00707574" w:rsidP="00A07DF6">
      <w:pPr>
        <w:pStyle w:val="ListParagraph"/>
        <w:numPr>
          <w:ilvl w:val="0"/>
          <w:numId w:val="2"/>
        </w:numPr>
        <w:spacing w:before="120" w:after="120" w:line="240" w:lineRule="auto"/>
        <w:ind w:left="360"/>
        <w:contextualSpacing w:val="0"/>
        <w:rPr>
          <w:bCs/>
          <w:iCs/>
          <w:sz w:val="20"/>
          <w:szCs w:val="20"/>
        </w:rPr>
      </w:pPr>
      <w:r w:rsidRPr="005068B5">
        <w:rPr>
          <w:noProof/>
        </w:rPr>
        <w:drawing>
          <wp:anchor distT="0" distB="0" distL="114300" distR="114300" simplePos="0" relativeHeight="251905024" behindDoc="0" locked="0" layoutInCell="1" allowOverlap="1" wp14:anchorId="5FB036AF" wp14:editId="6F70988E">
            <wp:simplePos x="0" y="0"/>
            <wp:positionH relativeFrom="margin">
              <wp:align>center</wp:align>
            </wp:positionH>
            <wp:positionV relativeFrom="paragraph">
              <wp:posOffset>400630</wp:posOffset>
            </wp:positionV>
            <wp:extent cx="3209544" cy="1380744"/>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544" cy="1380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716" w:rsidRPr="005068B5">
        <w:rPr>
          <w:bCs/>
          <w:iCs/>
          <w:sz w:val="20"/>
          <w:szCs w:val="20"/>
        </w:rPr>
        <w:t xml:space="preserve">Centennial residents represented 17.7 percent of the total labor force in Arapahoe County during the </w:t>
      </w:r>
      <w:r w:rsidRPr="005068B5">
        <w:rPr>
          <w:bCs/>
          <w:iCs/>
          <w:sz w:val="20"/>
          <w:szCs w:val="20"/>
        </w:rPr>
        <w:t>second</w:t>
      </w:r>
      <w:r w:rsidR="005B0716" w:rsidRPr="005068B5">
        <w:rPr>
          <w:bCs/>
          <w:iCs/>
          <w:sz w:val="20"/>
          <w:szCs w:val="20"/>
        </w:rPr>
        <w:t xml:space="preserve"> quarter of 2019.</w:t>
      </w:r>
    </w:p>
    <w:p w14:paraId="65C96CCE" w14:textId="7806E84A" w:rsidR="00A07DF6" w:rsidRPr="00107522" w:rsidRDefault="00A07DF6" w:rsidP="00A07DF6">
      <w:pPr>
        <w:pStyle w:val="Heading1"/>
      </w:pPr>
      <w:r w:rsidRPr="00107522">
        <w:t>Consumer Activity</w:t>
      </w:r>
    </w:p>
    <w:p w14:paraId="097818B6" w14:textId="79E01278" w:rsidR="00C96375" w:rsidRPr="00C96375" w:rsidRDefault="00A07DF6" w:rsidP="00C96375">
      <w:pPr>
        <w:pStyle w:val="Heading2"/>
      </w:pPr>
      <w:r w:rsidRPr="00107522">
        <w:t>Consumer Confidence Index</w:t>
      </w:r>
    </w:p>
    <w:p w14:paraId="2BEAA681" w14:textId="55B5A33E" w:rsidR="00C96375" w:rsidRPr="005068B5" w:rsidRDefault="00C96375" w:rsidP="00C96375">
      <w:pPr>
        <w:pStyle w:val="ListParagraph"/>
        <w:numPr>
          <w:ilvl w:val="0"/>
          <w:numId w:val="2"/>
        </w:numPr>
        <w:spacing w:before="120" w:after="120" w:line="240" w:lineRule="auto"/>
        <w:ind w:left="360"/>
        <w:contextualSpacing w:val="0"/>
        <w:rPr>
          <w:bCs/>
          <w:iCs/>
          <w:sz w:val="20"/>
          <w:szCs w:val="20"/>
        </w:rPr>
      </w:pPr>
      <w:r w:rsidRPr="005068B5">
        <w:rPr>
          <w:bCs/>
          <w:iCs/>
          <w:noProof/>
          <w:sz w:val="20"/>
          <w:szCs w:val="20"/>
        </w:rPr>
        <w:drawing>
          <wp:anchor distT="0" distB="0" distL="114300" distR="114300" simplePos="0" relativeHeight="251906048" behindDoc="0" locked="0" layoutInCell="1" allowOverlap="1" wp14:anchorId="3DDA97D5" wp14:editId="2670BA77">
            <wp:simplePos x="0" y="0"/>
            <wp:positionH relativeFrom="margin">
              <wp:align>right</wp:align>
            </wp:positionH>
            <wp:positionV relativeFrom="paragraph">
              <wp:posOffset>78740</wp:posOffset>
            </wp:positionV>
            <wp:extent cx="3154680" cy="2249424"/>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54680" cy="2249424"/>
                    </a:xfrm>
                    <a:prstGeom prst="rect">
                      <a:avLst/>
                    </a:prstGeom>
                    <a:noFill/>
                  </pic:spPr>
                </pic:pic>
              </a:graphicData>
            </a:graphic>
          </wp:anchor>
        </w:drawing>
      </w:r>
      <w:r w:rsidRPr="005068B5">
        <w:rPr>
          <w:bCs/>
          <w:iCs/>
          <w:sz w:val="20"/>
          <w:szCs w:val="20"/>
        </w:rPr>
        <w:t xml:space="preserve">The Conference Board’s National Consumer Confidence Index decreased during the third quarter of 2019, falling by 0.7 percent over-the-year to 131.7. Between the second and third quarter of 2019, the national index rose 2.7 percent. According to analysts, the escalation in trade and tariff tensions appeared to have rattled consumers in late August, however strong labor market conditions have continued to drive consumer spending amidst uncertainty. </w:t>
      </w:r>
    </w:p>
    <w:p w14:paraId="52C6DCAC" w14:textId="311CFB36" w:rsidR="001130C2" w:rsidRPr="008D1488" w:rsidRDefault="00C96375" w:rsidP="008D1488">
      <w:pPr>
        <w:pStyle w:val="ListParagraph"/>
        <w:numPr>
          <w:ilvl w:val="0"/>
          <w:numId w:val="2"/>
        </w:numPr>
        <w:spacing w:before="120" w:after="120" w:line="240" w:lineRule="auto"/>
        <w:ind w:left="360"/>
        <w:contextualSpacing w:val="0"/>
        <w:rPr>
          <w:bCs/>
          <w:iCs/>
          <w:sz w:val="20"/>
          <w:szCs w:val="20"/>
        </w:rPr>
      </w:pPr>
      <w:r w:rsidRPr="005068B5">
        <w:rPr>
          <w:bCs/>
          <w:iCs/>
          <w:sz w:val="20"/>
          <w:szCs w:val="20"/>
        </w:rPr>
        <w:t>Colorado is included in the Mountain Region Index and the area reported a decrease of 1 percent between the second and third quarter of 2019. The Mountain Index also reported a 1.8 percent decrease over-the-year.</w:t>
      </w:r>
    </w:p>
    <w:p w14:paraId="369B5D8A" w14:textId="1042BF58" w:rsidR="001130C2" w:rsidRPr="001130C2" w:rsidRDefault="00804DA4" w:rsidP="001130C2">
      <w:pPr>
        <w:pStyle w:val="Heading2"/>
      </w:pPr>
      <w:r>
        <w:lastRenderedPageBreak/>
        <w:t>Local Net Taxable Sales</w:t>
      </w:r>
    </w:p>
    <w:p w14:paraId="333DF0EF" w14:textId="0D236A8C" w:rsidR="00FD3695" w:rsidRPr="005068B5" w:rsidRDefault="00FD3695" w:rsidP="005478F9">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Net taxable sales increased </w:t>
      </w:r>
      <w:r w:rsidR="001130C2" w:rsidRPr="005068B5">
        <w:rPr>
          <w:bCs/>
          <w:iCs/>
          <w:sz w:val="20"/>
          <w:szCs w:val="20"/>
        </w:rPr>
        <w:t>3.4</w:t>
      </w:r>
      <w:r w:rsidRPr="005068B5">
        <w:rPr>
          <w:bCs/>
          <w:iCs/>
          <w:sz w:val="20"/>
          <w:szCs w:val="20"/>
        </w:rPr>
        <w:t xml:space="preserve"> percent between the </w:t>
      </w:r>
      <w:r w:rsidR="001130C2" w:rsidRPr="005068B5">
        <w:rPr>
          <w:bCs/>
          <w:iCs/>
          <w:sz w:val="20"/>
          <w:szCs w:val="20"/>
        </w:rPr>
        <w:t>second</w:t>
      </w:r>
      <w:r w:rsidRPr="005068B5">
        <w:rPr>
          <w:bCs/>
          <w:iCs/>
          <w:sz w:val="20"/>
          <w:szCs w:val="20"/>
        </w:rPr>
        <w:t xml:space="preserve"> quarter of 2018 and the </w:t>
      </w:r>
      <w:r w:rsidR="001130C2" w:rsidRPr="005068B5">
        <w:rPr>
          <w:bCs/>
          <w:iCs/>
          <w:sz w:val="20"/>
          <w:szCs w:val="20"/>
        </w:rPr>
        <w:t>second</w:t>
      </w:r>
      <w:r w:rsidRPr="005068B5">
        <w:rPr>
          <w:bCs/>
          <w:iCs/>
          <w:sz w:val="20"/>
          <w:szCs w:val="20"/>
        </w:rPr>
        <w:t xml:space="preserve"> quarter of 2019, recording $</w:t>
      </w:r>
      <w:r w:rsidR="001130C2" w:rsidRPr="005068B5">
        <w:rPr>
          <w:bCs/>
          <w:iCs/>
          <w:sz w:val="20"/>
          <w:szCs w:val="20"/>
        </w:rPr>
        <w:t>404.1</w:t>
      </w:r>
      <w:r w:rsidRPr="005068B5">
        <w:rPr>
          <w:bCs/>
          <w:iCs/>
          <w:sz w:val="20"/>
          <w:szCs w:val="20"/>
        </w:rPr>
        <w:t xml:space="preserve"> million in net taxable sales. </w:t>
      </w:r>
    </w:p>
    <w:p w14:paraId="6B3B259C" w14:textId="22BB3728" w:rsidR="00653F15" w:rsidRPr="005068B5" w:rsidRDefault="00F1260E" w:rsidP="00FD3695">
      <w:pPr>
        <w:pStyle w:val="ListParagraph"/>
        <w:numPr>
          <w:ilvl w:val="0"/>
          <w:numId w:val="2"/>
        </w:numPr>
        <w:spacing w:before="120" w:after="120" w:line="240" w:lineRule="auto"/>
        <w:ind w:left="360"/>
        <w:contextualSpacing w:val="0"/>
        <w:rPr>
          <w:bCs/>
          <w:iCs/>
          <w:sz w:val="20"/>
          <w:szCs w:val="20"/>
        </w:rPr>
      </w:pPr>
      <w:r w:rsidRPr="005068B5">
        <w:rPr>
          <w:bCs/>
          <w:iCs/>
          <w:noProof/>
          <w:sz w:val="20"/>
          <w:szCs w:val="20"/>
        </w:rPr>
        <w:drawing>
          <wp:anchor distT="0" distB="0" distL="114300" distR="114300" simplePos="0" relativeHeight="251923456" behindDoc="0" locked="0" layoutInCell="1" allowOverlap="1" wp14:anchorId="25709F56" wp14:editId="0D6FC9EC">
            <wp:simplePos x="0" y="0"/>
            <wp:positionH relativeFrom="column">
              <wp:posOffset>3059706</wp:posOffset>
            </wp:positionH>
            <wp:positionV relativeFrom="paragraph">
              <wp:posOffset>429923</wp:posOffset>
            </wp:positionV>
            <wp:extent cx="3272155" cy="1933575"/>
            <wp:effectExtent l="0" t="0" r="4445" b="952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2155" cy="1933575"/>
                    </a:xfrm>
                    <a:prstGeom prst="rect">
                      <a:avLst/>
                    </a:prstGeom>
                    <a:noFill/>
                  </pic:spPr>
                </pic:pic>
              </a:graphicData>
            </a:graphic>
            <wp14:sizeRelH relativeFrom="margin">
              <wp14:pctWidth>0</wp14:pctWidth>
            </wp14:sizeRelH>
            <wp14:sizeRelV relativeFrom="margin">
              <wp14:pctHeight>0</wp14:pctHeight>
            </wp14:sizeRelV>
          </wp:anchor>
        </w:drawing>
      </w:r>
      <w:r w:rsidRPr="005068B5">
        <w:rPr>
          <w:bCs/>
          <w:iCs/>
          <w:noProof/>
          <w:sz w:val="20"/>
          <w:szCs w:val="20"/>
        </w:rPr>
        <w:drawing>
          <wp:anchor distT="0" distB="0" distL="114300" distR="114300" simplePos="0" relativeHeight="251922432" behindDoc="0" locked="0" layoutInCell="1" allowOverlap="1" wp14:anchorId="62710A7A" wp14:editId="1F35B45A">
            <wp:simplePos x="0" y="0"/>
            <wp:positionH relativeFrom="margin">
              <wp:posOffset>-222582</wp:posOffset>
            </wp:positionH>
            <wp:positionV relativeFrom="paragraph">
              <wp:posOffset>429923</wp:posOffset>
            </wp:positionV>
            <wp:extent cx="3246120" cy="1933575"/>
            <wp:effectExtent l="0" t="0" r="0" b="952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6120" cy="1933575"/>
                    </a:xfrm>
                    <a:prstGeom prst="rect">
                      <a:avLst/>
                    </a:prstGeom>
                    <a:noFill/>
                  </pic:spPr>
                </pic:pic>
              </a:graphicData>
            </a:graphic>
            <wp14:sizeRelH relativeFrom="margin">
              <wp14:pctWidth>0</wp14:pctWidth>
            </wp14:sizeRelH>
            <wp14:sizeRelV relativeFrom="margin">
              <wp14:pctHeight>0</wp14:pctHeight>
            </wp14:sizeRelV>
          </wp:anchor>
        </w:drawing>
      </w:r>
      <w:r w:rsidR="00FD3695" w:rsidRPr="005068B5">
        <w:rPr>
          <w:bCs/>
          <w:iCs/>
          <w:sz w:val="20"/>
          <w:szCs w:val="20"/>
        </w:rPr>
        <w:t xml:space="preserve">Net taxable sales </w:t>
      </w:r>
      <w:r w:rsidR="001130C2" w:rsidRPr="005068B5">
        <w:rPr>
          <w:bCs/>
          <w:iCs/>
          <w:sz w:val="20"/>
          <w:szCs w:val="20"/>
        </w:rPr>
        <w:t>increased</w:t>
      </w:r>
      <w:r w:rsidR="00FD3695" w:rsidRPr="005068B5">
        <w:rPr>
          <w:bCs/>
          <w:iCs/>
          <w:sz w:val="20"/>
          <w:szCs w:val="20"/>
        </w:rPr>
        <w:t xml:space="preserve"> </w:t>
      </w:r>
      <w:r w:rsidR="001130C2" w:rsidRPr="005068B5">
        <w:rPr>
          <w:bCs/>
          <w:iCs/>
          <w:sz w:val="20"/>
          <w:szCs w:val="20"/>
        </w:rPr>
        <w:t>8.4</w:t>
      </w:r>
      <w:r w:rsidR="00FD3695" w:rsidRPr="005068B5">
        <w:rPr>
          <w:bCs/>
          <w:iCs/>
          <w:sz w:val="20"/>
          <w:szCs w:val="20"/>
        </w:rPr>
        <w:t xml:space="preserve"> percent over-the-quarter, </w:t>
      </w:r>
      <w:r w:rsidR="001130C2" w:rsidRPr="005068B5">
        <w:rPr>
          <w:bCs/>
          <w:iCs/>
          <w:sz w:val="20"/>
          <w:szCs w:val="20"/>
        </w:rPr>
        <w:t>rising</w:t>
      </w:r>
      <w:r w:rsidR="00FD3695" w:rsidRPr="005068B5">
        <w:rPr>
          <w:bCs/>
          <w:iCs/>
          <w:sz w:val="20"/>
          <w:szCs w:val="20"/>
        </w:rPr>
        <w:t xml:space="preserve"> from $</w:t>
      </w:r>
      <w:r w:rsidR="001130C2" w:rsidRPr="005068B5">
        <w:rPr>
          <w:bCs/>
          <w:iCs/>
          <w:sz w:val="20"/>
          <w:szCs w:val="20"/>
        </w:rPr>
        <w:t>372.7</w:t>
      </w:r>
      <w:r w:rsidR="00FD3695" w:rsidRPr="005068B5">
        <w:rPr>
          <w:bCs/>
          <w:iCs/>
          <w:sz w:val="20"/>
          <w:szCs w:val="20"/>
        </w:rPr>
        <w:t xml:space="preserve"> million in the f</w:t>
      </w:r>
      <w:r w:rsidR="001130C2" w:rsidRPr="005068B5">
        <w:rPr>
          <w:bCs/>
          <w:iCs/>
          <w:sz w:val="20"/>
          <w:szCs w:val="20"/>
        </w:rPr>
        <w:t>irst</w:t>
      </w:r>
      <w:r w:rsidR="00FD3695" w:rsidRPr="005068B5">
        <w:rPr>
          <w:bCs/>
          <w:iCs/>
          <w:sz w:val="20"/>
          <w:szCs w:val="20"/>
        </w:rPr>
        <w:t xml:space="preserve"> quarter of 2018.</w:t>
      </w:r>
      <w:r w:rsidR="009C6A54" w:rsidRPr="005068B5">
        <w:rPr>
          <w:bCs/>
          <w:iCs/>
          <w:sz w:val="20"/>
          <w:szCs w:val="20"/>
        </w:rPr>
        <w:t xml:space="preserve"> </w:t>
      </w:r>
    </w:p>
    <w:p w14:paraId="4BF33102" w14:textId="77777777" w:rsidR="001130C2" w:rsidRDefault="001130C2" w:rsidP="0024149D">
      <w:pPr>
        <w:pStyle w:val="Heading2"/>
      </w:pPr>
    </w:p>
    <w:p w14:paraId="4F6169DB" w14:textId="2D76D7A9" w:rsidR="0024149D" w:rsidRPr="00107522" w:rsidRDefault="0024149D" w:rsidP="0024149D">
      <w:pPr>
        <w:pStyle w:val="Heading2"/>
      </w:pPr>
      <w:r w:rsidRPr="00107522">
        <w:t>Median Household Income</w:t>
      </w:r>
    </w:p>
    <w:p w14:paraId="185F4E11" w14:textId="29A1FD6D" w:rsidR="001130C2" w:rsidRPr="005068B5" w:rsidRDefault="001130C2" w:rsidP="00DE23EB">
      <w:pPr>
        <w:pStyle w:val="ListParagraph"/>
        <w:numPr>
          <w:ilvl w:val="0"/>
          <w:numId w:val="2"/>
        </w:numPr>
        <w:spacing w:before="120" w:after="120" w:line="240" w:lineRule="auto"/>
        <w:ind w:left="360"/>
        <w:contextualSpacing w:val="0"/>
        <w:rPr>
          <w:bCs/>
          <w:iCs/>
          <w:sz w:val="20"/>
          <w:szCs w:val="20"/>
        </w:rPr>
      </w:pPr>
      <w:r w:rsidRPr="005068B5">
        <w:rPr>
          <w:bCs/>
          <w:iCs/>
          <w:noProof/>
          <w:sz w:val="20"/>
          <w:szCs w:val="20"/>
        </w:rPr>
        <w:drawing>
          <wp:anchor distT="0" distB="0" distL="114300" distR="114300" simplePos="0" relativeHeight="251924480" behindDoc="0" locked="0" layoutInCell="1" allowOverlap="1" wp14:anchorId="777B9C32" wp14:editId="396B338A">
            <wp:simplePos x="0" y="0"/>
            <wp:positionH relativeFrom="margin">
              <wp:align>right</wp:align>
            </wp:positionH>
            <wp:positionV relativeFrom="paragraph">
              <wp:posOffset>86691</wp:posOffset>
            </wp:positionV>
            <wp:extent cx="3182112" cy="2048256"/>
            <wp:effectExtent l="0" t="0" r="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2112" cy="2048256"/>
                    </a:xfrm>
                    <a:prstGeom prst="rect">
                      <a:avLst/>
                    </a:prstGeom>
                    <a:noFill/>
                  </pic:spPr>
                </pic:pic>
              </a:graphicData>
            </a:graphic>
          </wp:anchor>
        </w:drawing>
      </w:r>
      <w:r w:rsidRPr="005068B5">
        <w:rPr>
          <w:bCs/>
          <w:iCs/>
          <w:sz w:val="20"/>
          <w:szCs w:val="20"/>
        </w:rPr>
        <w:t xml:space="preserve">Median household income for Centennial increased 4.2 percent between 2017 and 2018, representing an additional $4,431 a year. </w:t>
      </w:r>
      <w:r w:rsidR="00F1260E">
        <w:rPr>
          <w:bCs/>
          <w:iCs/>
          <w:sz w:val="20"/>
          <w:szCs w:val="20"/>
        </w:rPr>
        <w:t>The number of h</w:t>
      </w:r>
      <w:r w:rsidRPr="005068B5">
        <w:rPr>
          <w:bCs/>
          <w:iCs/>
          <w:sz w:val="20"/>
          <w:szCs w:val="20"/>
        </w:rPr>
        <w:t>ouseholds in Centennial decreased during the period, falling 4.8 percent, or by 1,931 fewer hous</w:t>
      </w:r>
      <w:r w:rsidR="005068B5" w:rsidRPr="005068B5">
        <w:rPr>
          <w:bCs/>
          <w:iCs/>
          <w:sz w:val="20"/>
          <w:szCs w:val="20"/>
        </w:rPr>
        <w:t>e</w:t>
      </w:r>
      <w:r w:rsidRPr="005068B5">
        <w:rPr>
          <w:bCs/>
          <w:iCs/>
          <w:sz w:val="20"/>
          <w:szCs w:val="20"/>
        </w:rPr>
        <w:t xml:space="preserve">holds. </w:t>
      </w:r>
    </w:p>
    <w:p w14:paraId="4991E138" w14:textId="6038C818" w:rsidR="001130C2" w:rsidRPr="005068B5" w:rsidRDefault="001130C2" w:rsidP="00DE23EB">
      <w:pPr>
        <w:pStyle w:val="ListParagraph"/>
        <w:numPr>
          <w:ilvl w:val="0"/>
          <w:numId w:val="2"/>
        </w:numPr>
        <w:spacing w:before="120" w:after="120" w:line="240" w:lineRule="auto"/>
        <w:ind w:left="360"/>
        <w:contextualSpacing w:val="0"/>
        <w:rPr>
          <w:bCs/>
          <w:iCs/>
          <w:sz w:val="20"/>
          <w:szCs w:val="20"/>
        </w:rPr>
      </w:pPr>
      <w:r w:rsidRPr="005068B5">
        <w:rPr>
          <w:bCs/>
          <w:iCs/>
          <w:sz w:val="20"/>
          <w:szCs w:val="20"/>
        </w:rPr>
        <w:t>Median household income rose 24.7 percent from 2012 to 2018, while the number of household</w:t>
      </w:r>
      <w:r w:rsidR="005068B5" w:rsidRPr="005068B5">
        <w:rPr>
          <w:bCs/>
          <w:iCs/>
          <w:sz w:val="20"/>
          <w:szCs w:val="20"/>
        </w:rPr>
        <w:t>s</w:t>
      </w:r>
      <w:r w:rsidRPr="005068B5">
        <w:rPr>
          <w:bCs/>
          <w:iCs/>
          <w:sz w:val="20"/>
          <w:szCs w:val="20"/>
        </w:rPr>
        <w:t xml:space="preserve"> increased by 2.9 percent during the same period.</w:t>
      </w:r>
    </w:p>
    <w:p w14:paraId="4016B8A2" w14:textId="37AD1B30" w:rsidR="00DE23EB" w:rsidRPr="002E517C" w:rsidRDefault="005068B5" w:rsidP="00DE23EB">
      <w:pPr>
        <w:pStyle w:val="ListParagraph"/>
        <w:numPr>
          <w:ilvl w:val="0"/>
          <w:numId w:val="2"/>
        </w:numPr>
        <w:spacing w:before="120" w:after="120" w:line="240" w:lineRule="auto"/>
        <w:ind w:left="360"/>
        <w:contextualSpacing w:val="0"/>
        <w:rPr>
          <w:bCs/>
          <w:iCs/>
          <w:sz w:val="20"/>
          <w:szCs w:val="20"/>
        </w:rPr>
      </w:pPr>
      <w:r>
        <w:rPr>
          <w:bCs/>
          <w:iCs/>
          <w:noProof/>
          <w:sz w:val="20"/>
          <w:szCs w:val="20"/>
        </w:rPr>
        <w:drawing>
          <wp:anchor distT="0" distB="0" distL="114300" distR="114300" simplePos="0" relativeHeight="251925504" behindDoc="0" locked="0" layoutInCell="1" allowOverlap="1" wp14:anchorId="145D0D64" wp14:editId="679654FF">
            <wp:simplePos x="0" y="0"/>
            <wp:positionH relativeFrom="margin">
              <wp:align>right</wp:align>
            </wp:positionH>
            <wp:positionV relativeFrom="paragraph">
              <wp:posOffset>439227</wp:posOffset>
            </wp:positionV>
            <wp:extent cx="3191256" cy="2066544"/>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1256" cy="2066544"/>
                    </a:xfrm>
                    <a:prstGeom prst="rect">
                      <a:avLst/>
                    </a:prstGeom>
                    <a:noFill/>
                  </pic:spPr>
                </pic:pic>
              </a:graphicData>
            </a:graphic>
          </wp:anchor>
        </w:drawing>
      </w:r>
      <w:r w:rsidR="00DE23EB" w:rsidRPr="002E517C">
        <w:rPr>
          <w:bCs/>
          <w:iCs/>
          <w:sz w:val="20"/>
          <w:szCs w:val="20"/>
        </w:rPr>
        <w:t>The consumer price index increased 1</w:t>
      </w:r>
      <w:r>
        <w:rPr>
          <w:bCs/>
          <w:iCs/>
          <w:sz w:val="20"/>
          <w:szCs w:val="20"/>
        </w:rPr>
        <w:t>6.6</w:t>
      </w:r>
      <w:r w:rsidR="00DE23EB" w:rsidRPr="002E517C">
        <w:rPr>
          <w:bCs/>
          <w:iCs/>
          <w:sz w:val="20"/>
          <w:szCs w:val="20"/>
        </w:rPr>
        <w:t xml:space="preserve"> percent from 201</w:t>
      </w:r>
      <w:r>
        <w:rPr>
          <w:bCs/>
          <w:iCs/>
          <w:sz w:val="20"/>
          <w:szCs w:val="20"/>
        </w:rPr>
        <w:t>2</w:t>
      </w:r>
      <w:r w:rsidR="00DE23EB" w:rsidRPr="002E517C">
        <w:rPr>
          <w:bCs/>
          <w:iCs/>
          <w:sz w:val="20"/>
          <w:szCs w:val="20"/>
        </w:rPr>
        <w:t xml:space="preserve"> to 201</w:t>
      </w:r>
      <w:r>
        <w:rPr>
          <w:bCs/>
          <w:iCs/>
          <w:sz w:val="20"/>
          <w:szCs w:val="20"/>
        </w:rPr>
        <w:t>8</w:t>
      </w:r>
      <w:r w:rsidR="00DE23EB" w:rsidRPr="002E517C">
        <w:rPr>
          <w:bCs/>
          <w:iCs/>
          <w:sz w:val="20"/>
          <w:szCs w:val="20"/>
        </w:rPr>
        <w:t xml:space="preserve">, so the inflation-adjusted increase in median household income was </w:t>
      </w:r>
      <w:r>
        <w:rPr>
          <w:bCs/>
          <w:iCs/>
          <w:sz w:val="20"/>
          <w:szCs w:val="20"/>
        </w:rPr>
        <w:t>8</w:t>
      </w:r>
      <w:r w:rsidR="00DE23EB" w:rsidRPr="002E517C">
        <w:rPr>
          <w:bCs/>
          <w:iCs/>
          <w:sz w:val="20"/>
          <w:szCs w:val="20"/>
        </w:rPr>
        <w:t xml:space="preserve"> percent.</w:t>
      </w:r>
    </w:p>
    <w:p w14:paraId="42B5EE33" w14:textId="77777777" w:rsidR="00FC7B20" w:rsidRDefault="00FC7B20" w:rsidP="00FC7B20">
      <w:pPr>
        <w:spacing w:before="120" w:after="120" w:line="240" w:lineRule="auto"/>
        <w:rPr>
          <w:rFonts w:asciiTheme="majorHAnsi" w:eastAsiaTheme="majorEastAsia" w:hAnsiTheme="majorHAnsi" w:cstheme="majorBidi"/>
          <w:color w:val="2E74B5" w:themeColor="accent1" w:themeShade="BF"/>
          <w:sz w:val="26"/>
          <w:szCs w:val="26"/>
        </w:rPr>
      </w:pPr>
    </w:p>
    <w:p w14:paraId="58800214" w14:textId="77777777" w:rsidR="00FC7B20" w:rsidRDefault="00FC7B20" w:rsidP="00FC7B20">
      <w:pPr>
        <w:spacing w:before="120" w:after="120" w:line="240" w:lineRule="auto"/>
        <w:rPr>
          <w:rFonts w:asciiTheme="majorHAnsi" w:eastAsiaTheme="majorEastAsia" w:hAnsiTheme="majorHAnsi" w:cstheme="majorBidi"/>
          <w:color w:val="2E74B5" w:themeColor="accent1" w:themeShade="BF"/>
          <w:sz w:val="26"/>
          <w:szCs w:val="26"/>
        </w:rPr>
      </w:pPr>
    </w:p>
    <w:p w14:paraId="41DC9427" w14:textId="77777777" w:rsidR="00FC7B20" w:rsidRDefault="00FC7B20" w:rsidP="00FC7B20">
      <w:pPr>
        <w:spacing w:before="120" w:after="120" w:line="240" w:lineRule="auto"/>
        <w:rPr>
          <w:rFonts w:asciiTheme="majorHAnsi" w:eastAsiaTheme="majorEastAsia" w:hAnsiTheme="majorHAnsi" w:cstheme="majorBidi"/>
          <w:color w:val="2E74B5" w:themeColor="accent1" w:themeShade="BF"/>
          <w:sz w:val="26"/>
          <w:szCs w:val="26"/>
        </w:rPr>
      </w:pPr>
    </w:p>
    <w:p w14:paraId="462C82AB" w14:textId="77777777" w:rsidR="00FC7B20" w:rsidRDefault="00FC7B20" w:rsidP="00FC7B20">
      <w:pPr>
        <w:spacing w:before="120" w:after="120" w:line="240" w:lineRule="auto"/>
        <w:rPr>
          <w:rFonts w:asciiTheme="majorHAnsi" w:eastAsiaTheme="majorEastAsia" w:hAnsiTheme="majorHAnsi" w:cstheme="majorBidi"/>
          <w:color w:val="2E74B5" w:themeColor="accent1" w:themeShade="BF"/>
          <w:sz w:val="26"/>
          <w:szCs w:val="26"/>
        </w:rPr>
      </w:pPr>
    </w:p>
    <w:p w14:paraId="349DC68B" w14:textId="77777777" w:rsidR="00FC7B20" w:rsidRDefault="00FC7B20" w:rsidP="00FC7B20">
      <w:pPr>
        <w:spacing w:before="120" w:after="120" w:line="240" w:lineRule="auto"/>
        <w:rPr>
          <w:rFonts w:asciiTheme="majorHAnsi" w:eastAsiaTheme="majorEastAsia" w:hAnsiTheme="majorHAnsi" w:cstheme="majorBidi"/>
          <w:color w:val="2E74B5" w:themeColor="accent1" w:themeShade="BF"/>
          <w:sz w:val="26"/>
          <w:szCs w:val="26"/>
        </w:rPr>
      </w:pPr>
    </w:p>
    <w:p w14:paraId="0F2331F8" w14:textId="73B109E0" w:rsidR="005068B5" w:rsidRDefault="005068B5" w:rsidP="00FC7B20">
      <w:pPr>
        <w:spacing w:before="120" w:after="120" w:line="240" w:lineRule="auto"/>
        <w:rPr>
          <w:rFonts w:asciiTheme="majorHAnsi" w:eastAsiaTheme="majorEastAsia" w:hAnsiTheme="majorHAnsi" w:cstheme="majorBidi"/>
          <w:color w:val="2E74B5" w:themeColor="accent1" w:themeShade="BF"/>
          <w:sz w:val="26"/>
          <w:szCs w:val="26"/>
        </w:rPr>
      </w:pPr>
    </w:p>
    <w:p w14:paraId="4013B7C1" w14:textId="77777777" w:rsidR="00C95417" w:rsidRDefault="00C95417" w:rsidP="005068B5">
      <w:pPr>
        <w:spacing w:before="120" w:after="120" w:line="240" w:lineRule="auto"/>
        <w:rPr>
          <w:rFonts w:asciiTheme="majorHAnsi" w:eastAsiaTheme="majorEastAsia" w:hAnsiTheme="majorHAnsi" w:cstheme="majorBidi"/>
          <w:color w:val="2E74B5" w:themeColor="accent1" w:themeShade="BF"/>
          <w:sz w:val="26"/>
          <w:szCs w:val="26"/>
        </w:rPr>
      </w:pPr>
    </w:p>
    <w:p w14:paraId="0FFE65B8" w14:textId="527726AE" w:rsidR="00ED73B8" w:rsidRPr="005068B5" w:rsidRDefault="005068B5" w:rsidP="005068B5">
      <w:pPr>
        <w:spacing w:before="120" w:after="120" w:line="240" w:lineRule="auto"/>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rPr>
        <w:lastRenderedPageBreak/>
        <w:drawing>
          <wp:anchor distT="0" distB="0" distL="114300" distR="114300" simplePos="0" relativeHeight="251926528" behindDoc="0" locked="0" layoutInCell="1" allowOverlap="1" wp14:anchorId="6BBC503F" wp14:editId="6843FD2E">
            <wp:simplePos x="0" y="0"/>
            <wp:positionH relativeFrom="margin">
              <wp:align>center</wp:align>
            </wp:positionH>
            <wp:positionV relativeFrom="paragraph">
              <wp:posOffset>226364</wp:posOffset>
            </wp:positionV>
            <wp:extent cx="5568696" cy="2578608"/>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8696" cy="2578608"/>
                    </a:xfrm>
                    <a:prstGeom prst="rect">
                      <a:avLst/>
                    </a:prstGeom>
                    <a:noFill/>
                  </pic:spPr>
                </pic:pic>
              </a:graphicData>
            </a:graphic>
          </wp:anchor>
        </w:drawing>
      </w:r>
      <w:r w:rsidR="0024149D" w:rsidRPr="00FC7B20">
        <w:rPr>
          <w:rFonts w:asciiTheme="majorHAnsi" w:eastAsiaTheme="majorEastAsia" w:hAnsiTheme="majorHAnsi" w:cstheme="majorBidi"/>
          <w:color w:val="2E74B5" w:themeColor="accent1" w:themeShade="BF"/>
          <w:sz w:val="26"/>
          <w:szCs w:val="26"/>
        </w:rPr>
        <w:t>Residential Real Estate</w:t>
      </w:r>
    </w:p>
    <w:p w14:paraId="45DB0DD5" w14:textId="77777777" w:rsidR="008D1488" w:rsidRDefault="008D1488" w:rsidP="0024149D">
      <w:pPr>
        <w:pStyle w:val="Heading2"/>
      </w:pPr>
    </w:p>
    <w:p w14:paraId="4DC9088B" w14:textId="3FDE1511" w:rsidR="0024149D" w:rsidRPr="00107522" w:rsidRDefault="0024149D" w:rsidP="0024149D">
      <w:pPr>
        <w:pStyle w:val="Heading2"/>
      </w:pPr>
      <w:r w:rsidRPr="00107522">
        <w:t>Existing Home Sales</w:t>
      </w:r>
      <w:r w:rsidR="00AC59BB" w:rsidRPr="00AC59BB">
        <w:t xml:space="preserve">  </w:t>
      </w:r>
    </w:p>
    <w:p w14:paraId="2FA31CFC" w14:textId="61C87D30" w:rsidR="00ED73B8" w:rsidRPr="005068B5" w:rsidRDefault="00C85E09" w:rsidP="009656B3">
      <w:pPr>
        <w:pStyle w:val="ListParagraph"/>
        <w:numPr>
          <w:ilvl w:val="0"/>
          <w:numId w:val="2"/>
        </w:numPr>
        <w:spacing w:before="120" w:after="120" w:line="240" w:lineRule="auto"/>
        <w:ind w:left="360"/>
        <w:contextualSpacing w:val="0"/>
        <w:rPr>
          <w:bCs/>
          <w:iCs/>
          <w:sz w:val="20"/>
          <w:szCs w:val="20"/>
        </w:rPr>
      </w:pPr>
      <w:r w:rsidRPr="005068B5">
        <w:rPr>
          <w:noProof/>
        </w:rPr>
        <w:drawing>
          <wp:anchor distT="0" distB="0" distL="114300" distR="114300" simplePos="0" relativeHeight="251907072" behindDoc="0" locked="0" layoutInCell="1" allowOverlap="1" wp14:anchorId="215EF089" wp14:editId="0261F7A5">
            <wp:simplePos x="0" y="0"/>
            <wp:positionH relativeFrom="margin">
              <wp:align>right</wp:align>
            </wp:positionH>
            <wp:positionV relativeFrom="paragraph">
              <wp:posOffset>87630</wp:posOffset>
            </wp:positionV>
            <wp:extent cx="3035808" cy="3986784"/>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5808" cy="3986784"/>
                    </a:xfrm>
                    <a:prstGeom prst="rect">
                      <a:avLst/>
                    </a:prstGeom>
                    <a:noFill/>
                    <a:ln>
                      <a:noFill/>
                    </a:ln>
                  </pic:spPr>
                </pic:pic>
              </a:graphicData>
            </a:graphic>
          </wp:anchor>
        </w:drawing>
      </w:r>
      <w:r w:rsidR="00ED73B8" w:rsidRPr="005068B5">
        <w:rPr>
          <w:bCs/>
          <w:iCs/>
          <w:sz w:val="20"/>
          <w:szCs w:val="20"/>
        </w:rPr>
        <w:t xml:space="preserve">The housing market in Centennial reported continued growth in the second quarter of 2019, with home sales increasing </w:t>
      </w:r>
      <w:r w:rsidRPr="005068B5">
        <w:rPr>
          <w:bCs/>
          <w:iCs/>
          <w:sz w:val="20"/>
          <w:szCs w:val="20"/>
        </w:rPr>
        <w:t>2.1</w:t>
      </w:r>
      <w:r w:rsidR="00ED73B8" w:rsidRPr="005068B5">
        <w:rPr>
          <w:bCs/>
          <w:iCs/>
          <w:sz w:val="20"/>
          <w:szCs w:val="20"/>
        </w:rPr>
        <w:t xml:space="preserve"> percent for the single-family detached market and home sales remaining flat in the single-family attached market in Centennial over-the-year. The attached market in Arapahoe County increased 9.7 percent over-the-year to 1,201 homes sold in the second quarter of 2019. Metro Denver reported 27 fewer attached homes sold, a decrease of 0.7 percent during the period.  </w:t>
      </w:r>
    </w:p>
    <w:p w14:paraId="7F82D58D" w14:textId="6F491F64" w:rsidR="00C85E09" w:rsidRPr="005068B5" w:rsidRDefault="00C85E09" w:rsidP="0055769A">
      <w:pPr>
        <w:pStyle w:val="ListParagraph"/>
        <w:numPr>
          <w:ilvl w:val="0"/>
          <w:numId w:val="2"/>
        </w:numPr>
        <w:spacing w:before="120" w:after="120" w:line="240" w:lineRule="auto"/>
        <w:ind w:left="360"/>
        <w:contextualSpacing w:val="0"/>
        <w:rPr>
          <w:bCs/>
          <w:iCs/>
          <w:sz w:val="20"/>
          <w:szCs w:val="20"/>
        </w:rPr>
      </w:pPr>
      <w:r w:rsidRPr="005068B5">
        <w:rPr>
          <w:bCs/>
          <w:iCs/>
          <w:sz w:val="20"/>
          <w:szCs w:val="20"/>
        </w:rPr>
        <w:t>Centennial reported an appreciation of 14.2 percent in attached home prices over-the-year to an average sales price of $342,888. Arapahoe County prices rose 13.5 percent, rising by $34,326 to an average price of $287,875, while Metro Denver reported an increase of 3.6 percent to an average price of $314,539.</w:t>
      </w:r>
    </w:p>
    <w:p w14:paraId="18567DB6" w14:textId="28AFDD8F" w:rsidR="00C85E09" w:rsidRPr="005068B5" w:rsidRDefault="00C85E09" w:rsidP="00B82287">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 attached home price in Centennial of $252 per square foot is higher than Arapahoe County ($234), but lower than Metro Denver ($268).</w:t>
      </w:r>
    </w:p>
    <w:p w14:paraId="35B765F7" w14:textId="3DFE8B4F" w:rsidR="00C85E09" w:rsidRPr="005068B5" w:rsidRDefault="00C85E09" w:rsidP="0055769A">
      <w:pPr>
        <w:pStyle w:val="ListParagraph"/>
        <w:numPr>
          <w:ilvl w:val="0"/>
          <w:numId w:val="2"/>
        </w:numPr>
        <w:spacing w:before="120" w:after="120" w:line="240" w:lineRule="auto"/>
        <w:ind w:left="360"/>
        <w:contextualSpacing w:val="0"/>
        <w:rPr>
          <w:bCs/>
          <w:iCs/>
          <w:sz w:val="20"/>
          <w:szCs w:val="20"/>
        </w:rPr>
      </w:pPr>
      <w:r w:rsidRPr="005068B5">
        <w:rPr>
          <w:bCs/>
          <w:iCs/>
          <w:sz w:val="20"/>
          <w:szCs w:val="20"/>
        </w:rPr>
        <w:t>Home sales for single-family detached homes increased in all three market areas, with a 2.1 percent increase in Centennial, a 10.8 percent increase in Arapahoe County, and a 2.4 percent increase in Metro Denver. Home sales in Arapahoe County grew by 243 homes over-the-year, totaling 2,496 single-family detached home sales.</w:t>
      </w:r>
    </w:p>
    <w:p w14:paraId="65FEA710" w14:textId="77777777" w:rsidR="008D1488" w:rsidRPr="008D1488" w:rsidRDefault="008D1488" w:rsidP="008D1488">
      <w:pPr>
        <w:spacing w:before="120" w:after="120" w:line="240" w:lineRule="auto"/>
        <w:rPr>
          <w:bCs/>
          <w:iCs/>
          <w:sz w:val="20"/>
          <w:szCs w:val="20"/>
        </w:rPr>
      </w:pPr>
    </w:p>
    <w:p w14:paraId="69332067" w14:textId="7FAE8A5A" w:rsidR="00C85E09" w:rsidRPr="005068B5" w:rsidRDefault="00C85E09" w:rsidP="0055769A">
      <w:pPr>
        <w:pStyle w:val="ListParagraph"/>
        <w:numPr>
          <w:ilvl w:val="0"/>
          <w:numId w:val="2"/>
        </w:numPr>
        <w:spacing w:before="120" w:after="120" w:line="240" w:lineRule="auto"/>
        <w:ind w:left="360"/>
        <w:contextualSpacing w:val="0"/>
        <w:rPr>
          <w:bCs/>
          <w:iCs/>
          <w:sz w:val="20"/>
          <w:szCs w:val="20"/>
        </w:rPr>
      </w:pPr>
      <w:r w:rsidRPr="005068B5">
        <w:rPr>
          <w:bCs/>
          <w:iCs/>
          <w:sz w:val="20"/>
          <w:szCs w:val="20"/>
        </w:rPr>
        <w:lastRenderedPageBreak/>
        <w:t xml:space="preserve">Sales prices for single-family detached homes rose across all three market areas between the second quarters of 2018 and 2019. Home prices in Centennial increased 5.4 percent, or by $26,846, to an average price of $524,493. Arapahoe County reported a 2.3 percent increase in detached prices to $488,723. Metro Denver reported a 1.4 percent increase over-the-year, rising to $533,063. </w:t>
      </w:r>
    </w:p>
    <w:p w14:paraId="1A4DC7DB" w14:textId="65D8188F" w:rsidR="00C85E09" w:rsidRPr="005068B5" w:rsidRDefault="00C85E09" w:rsidP="0055769A">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The price per square foot of single-family detached homes in Centennial increased 2.3 percent over-the-year, rising at a faster rate than both Arapahoe County (-0.1 percent) and Metro Denver (+1.1 percent). </w:t>
      </w:r>
    </w:p>
    <w:p w14:paraId="4D04FE53" w14:textId="2E330F13" w:rsidR="00842132" w:rsidRPr="004921DD" w:rsidRDefault="00324D8C" w:rsidP="004921DD">
      <w:pPr>
        <w:spacing w:before="120" w:after="120" w:line="240" w:lineRule="auto"/>
        <w:rPr>
          <w:bCs/>
          <w:iCs/>
          <w:sz w:val="20"/>
          <w:szCs w:val="20"/>
        </w:rPr>
      </w:pPr>
      <w:r>
        <w:rPr>
          <w:bCs/>
          <w:iCs/>
          <w:noProof/>
          <w:sz w:val="20"/>
          <w:szCs w:val="20"/>
        </w:rPr>
        <w:drawing>
          <wp:anchor distT="0" distB="0" distL="114300" distR="114300" simplePos="0" relativeHeight="251908096" behindDoc="0" locked="0" layoutInCell="1" allowOverlap="1" wp14:anchorId="561F41AE" wp14:editId="6F3C69B9">
            <wp:simplePos x="0" y="0"/>
            <wp:positionH relativeFrom="margin">
              <wp:align>right</wp:align>
            </wp:positionH>
            <wp:positionV relativeFrom="paragraph">
              <wp:posOffset>192405</wp:posOffset>
            </wp:positionV>
            <wp:extent cx="5943600" cy="1920240"/>
            <wp:effectExtent l="0" t="0" r="0" b="381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pic:spPr>
                </pic:pic>
              </a:graphicData>
            </a:graphic>
          </wp:anchor>
        </w:drawing>
      </w:r>
    </w:p>
    <w:p w14:paraId="539D9024" w14:textId="63A3769F" w:rsidR="009C445F" w:rsidRDefault="009C445F" w:rsidP="00EA42F3">
      <w:pPr>
        <w:pStyle w:val="Heading2"/>
      </w:pPr>
    </w:p>
    <w:p w14:paraId="5EAF94AF" w14:textId="086104CA" w:rsidR="00EA42F3" w:rsidRDefault="00C45CDC" w:rsidP="00EA42F3">
      <w:pPr>
        <w:pStyle w:val="Heading2"/>
      </w:pPr>
      <w:r>
        <w:rPr>
          <w:noProof/>
        </w:rPr>
        <w:drawing>
          <wp:anchor distT="0" distB="0" distL="114300" distR="114300" simplePos="0" relativeHeight="251909120" behindDoc="0" locked="0" layoutInCell="1" allowOverlap="1" wp14:anchorId="449AFD31" wp14:editId="0D9424C0">
            <wp:simplePos x="0" y="0"/>
            <wp:positionH relativeFrom="margin">
              <wp:align>center</wp:align>
            </wp:positionH>
            <wp:positionV relativeFrom="paragraph">
              <wp:posOffset>398311</wp:posOffset>
            </wp:positionV>
            <wp:extent cx="6647180" cy="1956435"/>
            <wp:effectExtent l="0" t="0" r="1270" b="571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47180" cy="1956435"/>
                    </a:xfrm>
                    <a:prstGeom prst="rect">
                      <a:avLst/>
                    </a:prstGeom>
                    <a:noFill/>
                  </pic:spPr>
                </pic:pic>
              </a:graphicData>
            </a:graphic>
          </wp:anchor>
        </w:drawing>
      </w:r>
      <w:r w:rsidR="00EA42F3" w:rsidRPr="00107522">
        <w:t xml:space="preserve">Apartment </w:t>
      </w:r>
      <w:r w:rsidR="00A53766" w:rsidRPr="00107522">
        <w:t>Market</w:t>
      </w:r>
    </w:p>
    <w:p w14:paraId="10E7F517" w14:textId="0D017FE5" w:rsidR="00DA52EC" w:rsidRPr="00107522" w:rsidRDefault="009337F0" w:rsidP="007A6A9C">
      <w:pPr>
        <w:jc w:val="center"/>
        <w:rPr>
          <w:noProof/>
        </w:rPr>
      </w:pPr>
      <w:r w:rsidRPr="009337F0">
        <w:drawing>
          <wp:anchor distT="0" distB="0" distL="114300" distR="114300" simplePos="0" relativeHeight="251936768" behindDoc="0" locked="0" layoutInCell="1" allowOverlap="1" wp14:anchorId="72082C3B" wp14:editId="2B600D58">
            <wp:simplePos x="0" y="0"/>
            <wp:positionH relativeFrom="margin">
              <wp:align>left</wp:align>
            </wp:positionH>
            <wp:positionV relativeFrom="paragraph">
              <wp:posOffset>2445827</wp:posOffset>
            </wp:positionV>
            <wp:extent cx="5965512" cy="1106424"/>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5512" cy="1106424"/>
                    </a:xfrm>
                    <a:prstGeom prst="rect">
                      <a:avLst/>
                    </a:prstGeom>
                    <a:noFill/>
                    <a:ln>
                      <a:noFill/>
                    </a:ln>
                  </pic:spPr>
                </pic:pic>
              </a:graphicData>
            </a:graphic>
          </wp:anchor>
        </w:drawing>
      </w:r>
    </w:p>
    <w:p w14:paraId="6C7308C3" w14:textId="77777777" w:rsidR="008D1488" w:rsidRPr="008D1488" w:rsidRDefault="008D1488" w:rsidP="008D1488">
      <w:pPr>
        <w:spacing w:before="120" w:after="120" w:line="240" w:lineRule="auto"/>
        <w:rPr>
          <w:bCs/>
          <w:iCs/>
          <w:sz w:val="20"/>
          <w:szCs w:val="20"/>
        </w:rPr>
      </w:pPr>
    </w:p>
    <w:p w14:paraId="45460082" w14:textId="77777777" w:rsidR="008D1488" w:rsidRPr="008D1488" w:rsidRDefault="008D1488" w:rsidP="008D1488">
      <w:pPr>
        <w:spacing w:before="120" w:after="120" w:line="240" w:lineRule="auto"/>
        <w:rPr>
          <w:bCs/>
          <w:iCs/>
          <w:sz w:val="20"/>
          <w:szCs w:val="20"/>
        </w:rPr>
      </w:pPr>
    </w:p>
    <w:p w14:paraId="56B54413" w14:textId="77777777" w:rsidR="008D1488" w:rsidRPr="008D1488" w:rsidRDefault="008D1488" w:rsidP="008D1488">
      <w:pPr>
        <w:spacing w:before="120" w:after="120" w:line="240" w:lineRule="auto"/>
        <w:rPr>
          <w:bCs/>
          <w:iCs/>
          <w:sz w:val="20"/>
          <w:szCs w:val="20"/>
        </w:rPr>
      </w:pPr>
      <w:bookmarkStart w:id="0" w:name="_GoBack"/>
      <w:bookmarkEnd w:id="0"/>
    </w:p>
    <w:p w14:paraId="496A4254" w14:textId="298E6494" w:rsidR="00C26A6A" w:rsidRPr="005068B5" w:rsidRDefault="00C45CDC" w:rsidP="00C45CDC">
      <w:pPr>
        <w:pStyle w:val="ListParagraph"/>
        <w:numPr>
          <w:ilvl w:val="0"/>
          <w:numId w:val="2"/>
        </w:numPr>
        <w:spacing w:before="120" w:after="120" w:line="240" w:lineRule="auto"/>
        <w:ind w:left="360"/>
        <w:contextualSpacing w:val="0"/>
        <w:rPr>
          <w:bCs/>
          <w:iCs/>
          <w:sz w:val="20"/>
          <w:szCs w:val="20"/>
        </w:rPr>
      </w:pPr>
      <w:r w:rsidRPr="005068B5">
        <w:rPr>
          <w:bCs/>
          <w:iCs/>
          <w:sz w:val="20"/>
          <w:szCs w:val="20"/>
        </w:rPr>
        <w:lastRenderedPageBreak/>
        <w:t xml:space="preserve">Apartment vacancy rates decreased in all three market areas between the second quarters of 2018 and 2019. </w:t>
      </w:r>
      <w:r w:rsidR="0015131A" w:rsidRPr="005068B5">
        <w:rPr>
          <w:bCs/>
          <w:iCs/>
          <w:sz w:val="20"/>
          <w:szCs w:val="20"/>
        </w:rPr>
        <w:t>The Arapahoe County-Sout</w:t>
      </w:r>
      <w:r w:rsidR="00CC7EBB" w:rsidRPr="005068B5">
        <w:rPr>
          <w:bCs/>
          <w:iCs/>
          <w:sz w:val="20"/>
          <w:szCs w:val="20"/>
        </w:rPr>
        <w:t>h</w:t>
      </w:r>
      <w:r w:rsidR="00CC7EBB" w:rsidRPr="005068B5">
        <w:rPr>
          <w:rStyle w:val="FootnoteReference"/>
          <w:bCs/>
          <w:iCs/>
          <w:sz w:val="20"/>
          <w:szCs w:val="20"/>
        </w:rPr>
        <w:footnoteReference w:id="3"/>
      </w:r>
      <w:r w:rsidR="00CC7EBB" w:rsidRPr="005068B5">
        <w:rPr>
          <w:bCs/>
          <w:iCs/>
          <w:sz w:val="20"/>
          <w:szCs w:val="20"/>
        </w:rPr>
        <w:t xml:space="preserve"> m</w:t>
      </w:r>
      <w:r w:rsidR="0015131A" w:rsidRPr="005068B5">
        <w:rPr>
          <w:bCs/>
          <w:iCs/>
          <w:sz w:val="20"/>
          <w:szCs w:val="20"/>
        </w:rPr>
        <w:t>arket</w:t>
      </w:r>
      <w:r w:rsidRPr="005068B5">
        <w:rPr>
          <w:bCs/>
          <w:iCs/>
          <w:sz w:val="20"/>
          <w:szCs w:val="20"/>
        </w:rPr>
        <w:t xml:space="preserve"> reported a decrease of 7.2 percentage points over-the-year to 9 percent vacancy.</w:t>
      </w:r>
      <w:r w:rsidR="00F1260E">
        <w:rPr>
          <w:bCs/>
          <w:iCs/>
          <w:sz w:val="20"/>
          <w:szCs w:val="20"/>
        </w:rPr>
        <w:t xml:space="preserve"> The vacancy rate in Ar</w:t>
      </w:r>
      <w:r w:rsidR="008D1488">
        <w:rPr>
          <w:bCs/>
          <w:iCs/>
          <w:sz w:val="20"/>
          <w:szCs w:val="20"/>
        </w:rPr>
        <w:t>a</w:t>
      </w:r>
      <w:r w:rsidR="00F1260E">
        <w:rPr>
          <w:bCs/>
          <w:iCs/>
          <w:sz w:val="20"/>
          <w:szCs w:val="20"/>
        </w:rPr>
        <w:t>pahoe County-South was influenced by new units leasing up during the period.</w:t>
      </w:r>
      <w:r w:rsidR="008D1488">
        <w:rPr>
          <w:bCs/>
          <w:iCs/>
          <w:sz w:val="20"/>
          <w:szCs w:val="20"/>
        </w:rPr>
        <w:t xml:space="preserve"> </w:t>
      </w:r>
      <w:r w:rsidR="0015131A" w:rsidRPr="005068B5">
        <w:rPr>
          <w:bCs/>
          <w:iCs/>
          <w:sz w:val="20"/>
          <w:szCs w:val="20"/>
        </w:rPr>
        <w:t>The Arapahoe County-Southeas</w:t>
      </w:r>
      <w:r w:rsidR="00CC7EBB" w:rsidRPr="005068B5">
        <w:rPr>
          <w:bCs/>
          <w:iCs/>
          <w:sz w:val="20"/>
          <w:szCs w:val="20"/>
        </w:rPr>
        <w:t>t</w:t>
      </w:r>
      <w:r w:rsidR="00CC7EBB" w:rsidRPr="005068B5">
        <w:rPr>
          <w:rStyle w:val="FootnoteReference"/>
          <w:bCs/>
          <w:iCs/>
          <w:sz w:val="20"/>
          <w:szCs w:val="20"/>
        </w:rPr>
        <w:footnoteReference w:id="4"/>
      </w:r>
      <w:r w:rsidR="00CC7EBB" w:rsidRPr="005068B5">
        <w:rPr>
          <w:bCs/>
          <w:iCs/>
          <w:sz w:val="20"/>
          <w:szCs w:val="20"/>
        </w:rPr>
        <w:t xml:space="preserve"> d</w:t>
      </w:r>
      <w:r w:rsidR="00901E8A" w:rsidRPr="005068B5">
        <w:rPr>
          <w:bCs/>
          <w:iCs/>
          <w:sz w:val="20"/>
          <w:szCs w:val="20"/>
        </w:rPr>
        <w:t>ecreased</w:t>
      </w:r>
      <w:r w:rsidR="0015131A" w:rsidRPr="005068B5">
        <w:rPr>
          <w:bCs/>
          <w:iCs/>
          <w:sz w:val="20"/>
          <w:szCs w:val="20"/>
        </w:rPr>
        <w:t xml:space="preserve"> 1.</w:t>
      </w:r>
      <w:r w:rsidRPr="005068B5">
        <w:rPr>
          <w:bCs/>
          <w:iCs/>
          <w:sz w:val="20"/>
          <w:szCs w:val="20"/>
        </w:rPr>
        <w:t>3</w:t>
      </w:r>
      <w:r w:rsidR="0015131A" w:rsidRPr="005068B5">
        <w:rPr>
          <w:bCs/>
          <w:iCs/>
          <w:sz w:val="20"/>
          <w:szCs w:val="20"/>
        </w:rPr>
        <w:t xml:space="preserve"> percentage points to </w:t>
      </w:r>
      <w:r w:rsidRPr="005068B5">
        <w:rPr>
          <w:bCs/>
          <w:iCs/>
          <w:sz w:val="20"/>
          <w:szCs w:val="20"/>
        </w:rPr>
        <w:t>3.</w:t>
      </w:r>
      <w:r w:rsidR="0015131A" w:rsidRPr="005068B5">
        <w:rPr>
          <w:bCs/>
          <w:iCs/>
          <w:sz w:val="20"/>
          <w:szCs w:val="20"/>
        </w:rPr>
        <w:t xml:space="preserve">4 percent, while the Metro Denver vacancy rate decreased </w:t>
      </w:r>
      <w:r w:rsidRPr="005068B5">
        <w:rPr>
          <w:bCs/>
          <w:iCs/>
          <w:sz w:val="20"/>
          <w:szCs w:val="20"/>
        </w:rPr>
        <w:t>1</w:t>
      </w:r>
      <w:r w:rsidR="0015131A" w:rsidRPr="005068B5">
        <w:rPr>
          <w:bCs/>
          <w:iCs/>
          <w:sz w:val="20"/>
          <w:szCs w:val="20"/>
        </w:rPr>
        <w:t xml:space="preserve"> percentage point to 5 percent during the period. </w:t>
      </w:r>
    </w:p>
    <w:p w14:paraId="51C7330D" w14:textId="78FC1C67" w:rsidR="00C45CDC" w:rsidRPr="00E357C3" w:rsidRDefault="00C45CDC" w:rsidP="00E357C3">
      <w:pPr>
        <w:pStyle w:val="ListParagraph"/>
        <w:numPr>
          <w:ilvl w:val="0"/>
          <w:numId w:val="2"/>
        </w:numPr>
        <w:spacing w:before="120" w:after="120" w:line="240" w:lineRule="auto"/>
        <w:ind w:left="360"/>
        <w:contextualSpacing w:val="0"/>
        <w:rPr>
          <w:bCs/>
          <w:iCs/>
          <w:color w:val="FF0000"/>
          <w:sz w:val="20"/>
          <w:szCs w:val="20"/>
        </w:rPr>
      </w:pPr>
      <w:r w:rsidRPr="005068B5">
        <w:rPr>
          <w:bCs/>
          <w:iCs/>
          <w:sz w:val="20"/>
          <w:szCs w:val="20"/>
        </w:rPr>
        <w:t>The average rental rate for all property types increased in two of the three markets over-the-year.</w:t>
      </w:r>
      <w:r w:rsidR="00E357C3">
        <w:rPr>
          <w:bCs/>
          <w:iCs/>
          <w:sz w:val="20"/>
          <w:szCs w:val="20"/>
        </w:rPr>
        <w:t xml:space="preserve"> Arapahoe County-Southeast reported the largest increase, rising 4.2 percent, while Metro Denver rose 2.4 percent. The Arapahoe County-South market reported a decrease of 0.5 percent over-the-year.</w:t>
      </w:r>
    </w:p>
    <w:p w14:paraId="49C98DCF" w14:textId="77777777" w:rsidR="00C45CDC" w:rsidRDefault="00C45CDC" w:rsidP="00531982">
      <w:pPr>
        <w:pStyle w:val="Heading2"/>
      </w:pPr>
    </w:p>
    <w:p w14:paraId="696950F7" w14:textId="4E9BCB0D" w:rsidR="00E02382" w:rsidRPr="00107522" w:rsidRDefault="000957A3" w:rsidP="00531982">
      <w:pPr>
        <w:pStyle w:val="Heading2"/>
      </w:pPr>
      <w:r w:rsidRPr="00107522">
        <w:t xml:space="preserve">New </w:t>
      </w:r>
      <w:r w:rsidR="00E43DDE" w:rsidRPr="00107522">
        <w:t>Residential Building Permits</w:t>
      </w:r>
    </w:p>
    <w:p w14:paraId="6BB79E0F" w14:textId="49922F54" w:rsidR="00756A4E" w:rsidRPr="005068B5" w:rsidRDefault="00756A4E" w:rsidP="00B7280E">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New single-family permits decreased from </w:t>
      </w:r>
      <w:r w:rsidR="00E357C3">
        <w:rPr>
          <w:bCs/>
          <w:iCs/>
          <w:sz w:val="20"/>
          <w:szCs w:val="20"/>
        </w:rPr>
        <w:t>67</w:t>
      </w:r>
      <w:r w:rsidRPr="005068B5">
        <w:rPr>
          <w:bCs/>
          <w:iCs/>
          <w:sz w:val="20"/>
          <w:szCs w:val="20"/>
        </w:rPr>
        <w:t xml:space="preserve"> permits issued during the third quarter of 2018 to 18 permits issued during the third quarter of 2019. </w:t>
      </w:r>
    </w:p>
    <w:p w14:paraId="2DD1DB46" w14:textId="19E699F4" w:rsidR="00756A4E" w:rsidRPr="005068B5" w:rsidRDefault="00756A4E" w:rsidP="00B7280E">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 average valuation for new single-family homes permitted increased 31.5 percent to $251,499 between the third quarters of 2018 and 2019.</w:t>
      </w:r>
    </w:p>
    <w:p w14:paraId="3EACDD76" w14:textId="202B99D0" w:rsidR="00756A4E" w:rsidRPr="005068B5" w:rsidRDefault="00756A4E" w:rsidP="00B7280E">
      <w:pPr>
        <w:pStyle w:val="ListParagraph"/>
        <w:numPr>
          <w:ilvl w:val="0"/>
          <w:numId w:val="2"/>
        </w:numPr>
        <w:spacing w:before="120" w:after="120" w:line="240" w:lineRule="auto"/>
        <w:ind w:left="360"/>
        <w:contextualSpacing w:val="0"/>
        <w:rPr>
          <w:bCs/>
          <w:iCs/>
          <w:sz w:val="20"/>
          <w:szCs w:val="20"/>
        </w:rPr>
      </w:pPr>
      <w:r w:rsidRPr="005068B5">
        <w:rPr>
          <w:bCs/>
          <w:iCs/>
          <w:noProof/>
          <w:sz w:val="20"/>
          <w:szCs w:val="20"/>
        </w:rPr>
        <w:drawing>
          <wp:anchor distT="0" distB="0" distL="114300" distR="114300" simplePos="0" relativeHeight="251915264" behindDoc="0" locked="0" layoutInCell="1" allowOverlap="1" wp14:anchorId="06D8BF0E" wp14:editId="1B6E6D8A">
            <wp:simplePos x="0" y="0"/>
            <wp:positionH relativeFrom="margin">
              <wp:align>center</wp:align>
            </wp:positionH>
            <wp:positionV relativeFrom="paragraph">
              <wp:posOffset>372745</wp:posOffset>
            </wp:positionV>
            <wp:extent cx="3575050" cy="210312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75050" cy="2103120"/>
                    </a:xfrm>
                    <a:prstGeom prst="rect">
                      <a:avLst/>
                    </a:prstGeom>
                    <a:noFill/>
                  </pic:spPr>
                </pic:pic>
              </a:graphicData>
            </a:graphic>
          </wp:anchor>
        </w:drawing>
      </w:r>
      <w:r w:rsidRPr="005068B5">
        <w:rPr>
          <w:bCs/>
          <w:iCs/>
          <w:sz w:val="20"/>
          <w:szCs w:val="20"/>
        </w:rPr>
        <w:t>Centennial reported no multi-family permits during the third quarters of 2018 and 2019.</w:t>
      </w:r>
    </w:p>
    <w:p w14:paraId="77A86EC2" w14:textId="4DB126D5" w:rsidR="0054027A" w:rsidRPr="0012628D" w:rsidRDefault="0054027A" w:rsidP="0012628D">
      <w:pPr>
        <w:spacing w:before="120" w:after="120" w:line="240" w:lineRule="auto"/>
        <w:rPr>
          <w:bCs/>
          <w:iCs/>
          <w:sz w:val="20"/>
          <w:szCs w:val="20"/>
        </w:rPr>
      </w:pPr>
    </w:p>
    <w:p w14:paraId="17282608" w14:textId="7FCFEB0C" w:rsidR="0078681C" w:rsidRPr="00107522" w:rsidRDefault="0078681C" w:rsidP="0084394F">
      <w:pPr>
        <w:pStyle w:val="Heading1"/>
      </w:pPr>
      <w:r w:rsidRPr="00107522">
        <w:t>Commercial Real Estate</w:t>
      </w:r>
    </w:p>
    <w:p w14:paraId="7A47BFB1" w14:textId="77777777" w:rsidR="0078681C" w:rsidRPr="00107522" w:rsidRDefault="0078681C" w:rsidP="0078681C">
      <w:pPr>
        <w:pStyle w:val="Heading2"/>
      </w:pPr>
      <w:r w:rsidRPr="00107522">
        <w:t>Commercial Building Permits</w:t>
      </w:r>
    </w:p>
    <w:p w14:paraId="24D9DDFF" w14:textId="765F4EC7" w:rsidR="00156826" w:rsidRPr="006D442B" w:rsidRDefault="00156826" w:rsidP="0078681C">
      <w:pPr>
        <w:pStyle w:val="ListParagraph"/>
        <w:numPr>
          <w:ilvl w:val="0"/>
          <w:numId w:val="2"/>
        </w:numPr>
        <w:spacing w:before="120" w:after="120" w:line="240" w:lineRule="auto"/>
        <w:ind w:left="360"/>
        <w:contextualSpacing w:val="0"/>
        <w:rPr>
          <w:bCs/>
          <w:iCs/>
          <w:sz w:val="20"/>
          <w:szCs w:val="20"/>
        </w:rPr>
      </w:pPr>
      <w:r w:rsidRPr="006D442B">
        <w:rPr>
          <w:bCs/>
          <w:iCs/>
          <w:sz w:val="20"/>
          <w:szCs w:val="20"/>
        </w:rPr>
        <w:t xml:space="preserve">Centennial issued </w:t>
      </w:r>
      <w:r w:rsidR="00E357C3">
        <w:rPr>
          <w:bCs/>
          <w:iCs/>
          <w:sz w:val="20"/>
          <w:szCs w:val="20"/>
        </w:rPr>
        <w:t>102</w:t>
      </w:r>
      <w:r w:rsidRPr="006D442B">
        <w:rPr>
          <w:bCs/>
          <w:iCs/>
          <w:sz w:val="20"/>
          <w:szCs w:val="20"/>
        </w:rPr>
        <w:t xml:space="preserve"> commercial permits during the </w:t>
      </w:r>
      <w:r w:rsidR="00E357C3">
        <w:rPr>
          <w:bCs/>
          <w:iCs/>
          <w:sz w:val="20"/>
          <w:szCs w:val="20"/>
        </w:rPr>
        <w:t>third</w:t>
      </w:r>
      <w:r w:rsidRPr="006D442B">
        <w:rPr>
          <w:bCs/>
          <w:iCs/>
          <w:sz w:val="20"/>
          <w:szCs w:val="20"/>
        </w:rPr>
        <w:t xml:space="preserve"> quarter of 201</w:t>
      </w:r>
      <w:r w:rsidR="00B24B5B">
        <w:rPr>
          <w:bCs/>
          <w:iCs/>
          <w:sz w:val="20"/>
          <w:szCs w:val="20"/>
        </w:rPr>
        <w:t>9</w:t>
      </w:r>
      <w:r w:rsidRPr="006D442B">
        <w:rPr>
          <w:bCs/>
          <w:iCs/>
          <w:sz w:val="20"/>
          <w:szCs w:val="20"/>
        </w:rPr>
        <w:t xml:space="preserve">, of which </w:t>
      </w:r>
      <w:r w:rsidR="00E357C3">
        <w:rPr>
          <w:bCs/>
          <w:iCs/>
          <w:sz w:val="20"/>
          <w:szCs w:val="20"/>
        </w:rPr>
        <w:t>all</w:t>
      </w:r>
      <w:r w:rsidRPr="006D442B">
        <w:rPr>
          <w:bCs/>
          <w:iCs/>
          <w:sz w:val="20"/>
          <w:szCs w:val="20"/>
        </w:rPr>
        <w:t xml:space="preserve"> were commercial alteration permits and </w:t>
      </w:r>
      <w:r w:rsidR="00E357C3">
        <w:rPr>
          <w:bCs/>
          <w:iCs/>
          <w:sz w:val="20"/>
          <w:szCs w:val="20"/>
        </w:rPr>
        <w:t>none</w:t>
      </w:r>
      <w:r w:rsidRPr="006D442B">
        <w:rPr>
          <w:bCs/>
          <w:iCs/>
          <w:sz w:val="20"/>
          <w:szCs w:val="20"/>
        </w:rPr>
        <w:t xml:space="preserve"> were new commercial permits. This was a</w:t>
      </w:r>
      <w:r w:rsidR="00E357C3">
        <w:rPr>
          <w:bCs/>
          <w:iCs/>
          <w:sz w:val="20"/>
          <w:szCs w:val="20"/>
        </w:rPr>
        <w:t xml:space="preserve"> de</w:t>
      </w:r>
      <w:r w:rsidR="00B24B5B">
        <w:rPr>
          <w:bCs/>
          <w:iCs/>
          <w:sz w:val="20"/>
          <w:szCs w:val="20"/>
        </w:rPr>
        <w:t>crease</w:t>
      </w:r>
      <w:r w:rsidRPr="006D442B">
        <w:rPr>
          <w:bCs/>
          <w:iCs/>
          <w:sz w:val="20"/>
          <w:szCs w:val="20"/>
        </w:rPr>
        <w:t xml:space="preserve"> of </w:t>
      </w:r>
      <w:r w:rsidR="00E357C3">
        <w:rPr>
          <w:bCs/>
          <w:iCs/>
          <w:sz w:val="20"/>
          <w:szCs w:val="20"/>
        </w:rPr>
        <w:t>14</w:t>
      </w:r>
      <w:r w:rsidRPr="006D442B">
        <w:rPr>
          <w:bCs/>
          <w:iCs/>
          <w:sz w:val="20"/>
          <w:szCs w:val="20"/>
        </w:rPr>
        <w:t xml:space="preserve"> permits compared with the </w:t>
      </w:r>
      <w:r w:rsidR="00E357C3">
        <w:rPr>
          <w:bCs/>
          <w:iCs/>
          <w:sz w:val="20"/>
          <w:szCs w:val="20"/>
        </w:rPr>
        <w:t>thir</w:t>
      </w:r>
      <w:r w:rsidRPr="006D442B">
        <w:rPr>
          <w:bCs/>
          <w:iCs/>
          <w:sz w:val="20"/>
          <w:szCs w:val="20"/>
        </w:rPr>
        <w:t>d quarter of 2018 and a decrease of six permits over-the-</w:t>
      </w:r>
      <w:r w:rsidR="00706CCF" w:rsidRPr="006D442B">
        <w:rPr>
          <w:bCs/>
          <w:iCs/>
          <w:sz w:val="20"/>
          <w:szCs w:val="20"/>
        </w:rPr>
        <w:t>quarter.</w:t>
      </w:r>
    </w:p>
    <w:p w14:paraId="2110BF39" w14:textId="14E52C65" w:rsidR="000E4C75" w:rsidRDefault="00156826" w:rsidP="0078681C">
      <w:pPr>
        <w:pStyle w:val="ListParagraph"/>
        <w:numPr>
          <w:ilvl w:val="0"/>
          <w:numId w:val="2"/>
        </w:numPr>
        <w:spacing w:before="120" w:after="120" w:line="240" w:lineRule="auto"/>
        <w:ind w:left="360"/>
        <w:contextualSpacing w:val="0"/>
        <w:rPr>
          <w:bCs/>
          <w:iCs/>
          <w:sz w:val="20"/>
          <w:szCs w:val="20"/>
        </w:rPr>
      </w:pPr>
      <w:r w:rsidRPr="006D442B">
        <w:rPr>
          <w:bCs/>
          <w:iCs/>
          <w:sz w:val="20"/>
          <w:szCs w:val="20"/>
        </w:rPr>
        <w:t xml:space="preserve">Project valuation increased by </w:t>
      </w:r>
      <w:r w:rsidR="00E357C3">
        <w:rPr>
          <w:bCs/>
          <w:iCs/>
          <w:sz w:val="20"/>
          <w:szCs w:val="20"/>
        </w:rPr>
        <w:t>85.3</w:t>
      </w:r>
      <w:r w:rsidRPr="006D442B">
        <w:rPr>
          <w:bCs/>
          <w:iCs/>
          <w:sz w:val="20"/>
          <w:szCs w:val="20"/>
        </w:rPr>
        <w:t xml:space="preserve"> percent over-the-year due to the sharp increase in commercial</w:t>
      </w:r>
      <w:r w:rsidR="00E357C3">
        <w:rPr>
          <w:bCs/>
          <w:iCs/>
          <w:sz w:val="20"/>
          <w:szCs w:val="20"/>
        </w:rPr>
        <w:t xml:space="preserve"> alteration</w:t>
      </w:r>
      <w:r w:rsidRPr="006D442B">
        <w:rPr>
          <w:bCs/>
          <w:iCs/>
          <w:sz w:val="20"/>
          <w:szCs w:val="20"/>
        </w:rPr>
        <w:t xml:space="preserve"> valuation which totaled </w:t>
      </w:r>
      <w:r w:rsidR="0083244F">
        <w:rPr>
          <w:bCs/>
          <w:iCs/>
          <w:sz w:val="20"/>
          <w:szCs w:val="20"/>
        </w:rPr>
        <w:t>nearly $40.9</w:t>
      </w:r>
      <w:r w:rsidRPr="006D442B">
        <w:rPr>
          <w:bCs/>
          <w:iCs/>
          <w:sz w:val="20"/>
          <w:szCs w:val="20"/>
        </w:rPr>
        <w:t xml:space="preserve"> million</w:t>
      </w:r>
      <w:r w:rsidR="000E4C75">
        <w:rPr>
          <w:bCs/>
          <w:iCs/>
          <w:sz w:val="20"/>
          <w:szCs w:val="20"/>
        </w:rPr>
        <w:t>, an increase of 109 percent. Valuation for new commercial permits fell by $2.5 million due to no new commercial permits reported in the third quarter of 2019.</w:t>
      </w:r>
      <w:r w:rsidR="002D3F14">
        <w:rPr>
          <w:bCs/>
          <w:iCs/>
          <w:sz w:val="20"/>
          <w:szCs w:val="20"/>
        </w:rPr>
        <w:t xml:space="preserve"> In total, valuation increased by $18.8 million over-the-year.</w:t>
      </w:r>
    </w:p>
    <w:p w14:paraId="36FC4044" w14:textId="1AB08482" w:rsidR="00156826" w:rsidRDefault="009337F0" w:rsidP="0078681C">
      <w:pPr>
        <w:pStyle w:val="ListParagraph"/>
        <w:numPr>
          <w:ilvl w:val="0"/>
          <w:numId w:val="2"/>
        </w:numPr>
        <w:spacing w:before="120" w:after="120" w:line="240" w:lineRule="auto"/>
        <w:ind w:left="360"/>
        <w:contextualSpacing w:val="0"/>
        <w:rPr>
          <w:bCs/>
          <w:iCs/>
          <w:sz w:val="20"/>
          <w:szCs w:val="20"/>
        </w:rPr>
      </w:pPr>
      <w:r w:rsidRPr="009337F0">
        <w:lastRenderedPageBreak/>
        <w:drawing>
          <wp:anchor distT="0" distB="0" distL="114300" distR="114300" simplePos="0" relativeHeight="251935744" behindDoc="0" locked="0" layoutInCell="1" allowOverlap="1" wp14:anchorId="5C9FD338" wp14:editId="00D8312B">
            <wp:simplePos x="0" y="0"/>
            <wp:positionH relativeFrom="margin">
              <wp:align>center</wp:align>
            </wp:positionH>
            <wp:positionV relativeFrom="paragraph">
              <wp:posOffset>508442</wp:posOffset>
            </wp:positionV>
            <wp:extent cx="3995928" cy="1655064"/>
            <wp:effectExtent l="0" t="0" r="5080" b="25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5928" cy="1655064"/>
                    </a:xfrm>
                    <a:prstGeom prst="rect">
                      <a:avLst/>
                    </a:prstGeom>
                    <a:noFill/>
                    <a:ln>
                      <a:noFill/>
                    </a:ln>
                  </pic:spPr>
                </pic:pic>
              </a:graphicData>
            </a:graphic>
          </wp:anchor>
        </w:drawing>
      </w:r>
      <w:r w:rsidR="0083244F">
        <w:rPr>
          <w:bCs/>
          <w:iCs/>
          <w:sz w:val="20"/>
          <w:szCs w:val="20"/>
        </w:rPr>
        <w:t xml:space="preserve">There was no new commercial square footage added in </w:t>
      </w:r>
      <w:r w:rsidR="00156826" w:rsidRPr="006D442B">
        <w:rPr>
          <w:bCs/>
          <w:iCs/>
          <w:sz w:val="20"/>
          <w:szCs w:val="20"/>
        </w:rPr>
        <w:t xml:space="preserve">Centennial </w:t>
      </w:r>
      <w:r w:rsidR="0083244F">
        <w:rPr>
          <w:bCs/>
          <w:iCs/>
          <w:sz w:val="20"/>
          <w:szCs w:val="20"/>
        </w:rPr>
        <w:t xml:space="preserve">in the </w:t>
      </w:r>
      <w:r w:rsidR="000E4C75">
        <w:rPr>
          <w:bCs/>
          <w:iCs/>
          <w:sz w:val="20"/>
          <w:szCs w:val="20"/>
        </w:rPr>
        <w:t>thir</w:t>
      </w:r>
      <w:r w:rsidR="00706CCF" w:rsidRPr="006D442B">
        <w:rPr>
          <w:bCs/>
          <w:iCs/>
          <w:sz w:val="20"/>
          <w:szCs w:val="20"/>
        </w:rPr>
        <w:t>d quarter of 2019</w:t>
      </w:r>
      <w:r w:rsidR="000E4C75">
        <w:rPr>
          <w:bCs/>
          <w:iCs/>
          <w:sz w:val="20"/>
          <w:szCs w:val="20"/>
        </w:rPr>
        <w:t xml:space="preserve"> </w:t>
      </w:r>
      <w:r w:rsidR="0083244F">
        <w:rPr>
          <w:bCs/>
          <w:iCs/>
          <w:sz w:val="20"/>
          <w:szCs w:val="20"/>
        </w:rPr>
        <w:t>as there were no new commercial building permits issued</w:t>
      </w:r>
      <w:r w:rsidR="000E4C75">
        <w:rPr>
          <w:bCs/>
          <w:iCs/>
          <w:sz w:val="20"/>
          <w:szCs w:val="20"/>
        </w:rPr>
        <w:t>.</w:t>
      </w:r>
      <w:r w:rsidR="00156826" w:rsidRPr="006D442B">
        <w:rPr>
          <w:bCs/>
          <w:iCs/>
          <w:sz w:val="20"/>
          <w:szCs w:val="20"/>
        </w:rPr>
        <w:t xml:space="preserve"> </w:t>
      </w:r>
    </w:p>
    <w:p w14:paraId="1AA722C1" w14:textId="1B873AFE" w:rsidR="00823812" w:rsidRDefault="009337F0" w:rsidP="00823812">
      <w:pPr>
        <w:spacing w:before="120" w:after="120" w:line="240" w:lineRule="auto"/>
        <w:rPr>
          <w:bCs/>
          <w:iCs/>
          <w:sz w:val="20"/>
          <w:szCs w:val="20"/>
        </w:rPr>
      </w:pPr>
      <w:r>
        <w:rPr>
          <w:noProof/>
        </w:rPr>
        <w:drawing>
          <wp:anchor distT="0" distB="0" distL="114300" distR="114300" simplePos="0" relativeHeight="251932672" behindDoc="0" locked="0" layoutInCell="1" allowOverlap="1" wp14:anchorId="15C02FBB" wp14:editId="2DEEEF73">
            <wp:simplePos x="0" y="0"/>
            <wp:positionH relativeFrom="margin">
              <wp:align>center</wp:align>
            </wp:positionH>
            <wp:positionV relativeFrom="paragraph">
              <wp:posOffset>1946220</wp:posOffset>
            </wp:positionV>
            <wp:extent cx="4261104" cy="2075688"/>
            <wp:effectExtent l="0" t="0" r="635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61104" cy="2075688"/>
                    </a:xfrm>
                    <a:prstGeom prst="rect">
                      <a:avLst/>
                    </a:prstGeom>
                    <a:noFill/>
                  </pic:spPr>
                </pic:pic>
              </a:graphicData>
            </a:graphic>
          </wp:anchor>
        </w:drawing>
      </w:r>
    </w:p>
    <w:p w14:paraId="1A1BA807" w14:textId="10DA250B" w:rsidR="008857E9" w:rsidRDefault="008857E9" w:rsidP="002132C6">
      <w:pPr>
        <w:pStyle w:val="Heading2"/>
      </w:pPr>
    </w:p>
    <w:p w14:paraId="12D77351" w14:textId="2A3D0B67" w:rsidR="002132C6" w:rsidRPr="00107522" w:rsidRDefault="002132C6" w:rsidP="002132C6">
      <w:pPr>
        <w:pStyle w:val="Heading2"/>
      </w:pPr>
      <w:r w:rsidRPr="00107522">
        <w:t>Under Construction/Recently Completed</w:t>
      </w:r>
    </w:p>
    <w:p w14:paraId="36ECF728" w14:textId="447AF314" w:rsidR="00713471" w:rsidRPr="005068B5" w:rsidRDefault="00713471" w:rsidP="00106745">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There were four commercial buildings recently completed in Centennial. Building 106, an industrial building at 7151 S Blackhawk St.</w:t>
      </w:r>
      <w:r w:rsidR="002D3F14">
        <w:rPr>
          <w:bCs/>
          <w:iCs/>
          <w:sz w:val="20"/>
          <w:szCs w:val="20"/>
        </w:rPr>
        <w:t>,</w:t>
      </w:r>
      <w:r w:rsidRPr="005068B5">
        <w:rPr>
          <w:bCs/>
          <w:iCs/>
          <w:sz w:val="20"/>
          <w:szCs w:val="20"/>
        </w:rPr>
        <w:t xml:space="preserve"> added 106,000 square feet of space. The second largest building completed was Crestone I at 7140 S Potomac St., an office building which added 50,000 square feet, followed by a 13,200-square-foot flex building at 6259 S Troy Cir. </w:t>
      </w:r>
    </w:p>
    <w:p w14:paraId="0878421E" w14:textId="7EBFBA2A" w:rsidR="00713471" w:rsidRPr="005068B5" w:rsidRDefault="00713471" w:rsidP="00106745">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There are two commercial buildings under construction in Centennial.</w:t>
      </w:r>
      <w:r w:rsidR="006F6C8A" w:rsidRPr="005068B5">
        <w:rPr>
          <w:bCs/>
          <w:iCs/>
          <w:sz w:val="20"/>
          <w:szCs w:val="20"/>
        </w:rPr>
        <w:t xml:space="preserve"> The largest building is an industrial building at 6281 S Racine Cir, totaling 40,000 square feet</w:t>
      </w:r>
      <w:r w:rsidR="002D3F14">
        <w:rPr>
          <w:bCs/>
          <w:iCs/>
          <w:sz w:val="20"/>
          <w:szCs w:val="20"/>
        </w:rPr>
        <w:t>. T</w:t>
      </w:r>
      <w:r w:rsidR="006F6C8A" w:rsidRPr="005068B5">
        <w:rPr>
          <w:bCs/>
          <w:iCs/>
          <w:sz w:val="20"/>
          <w:szCs w:val="20"/>
        </w:rPr>
        <w:t>he other building will be a “City Bark”, a veterinarian/kennel building totaling 14,327 square feet of retail space at 6840 S Kenton St.</w:t>
      </w:r>
    </w:p>
    <w:p w14:paraId="7D027056" w14:textId="77777777" w:rsidR="006F6C8A" w:rsidRDefault="006F6C8A" w:rsidP="0078681C">
      <w:pPr>
        <w:pStyle w:val="Heading2"/>
      </w:pPr>
    </w:p>
    <w:p w14:paraId="6267E3C7" w14:textId="65655F35" w:rsidR="0078681C" w:rsidRPr="00107522" w:rsidRDefault="00CD5CC5" w:rsidP="0078681C">
      <w:pPr>
        <w:pStyle w:val="Heading2"/>
      </w:pPr>
      <w:r w:rsidRPr="00107522">
        <w:t>Office Market</w:t>
      </w:r>
    </w:p>
    <w:p w14:paraId="1D4E7A72" w14:textId="2842C5D1" w:rsidR="00512CB1" w:rsidRPr="005068B5" w:rsidRDefault="00512CB1" w:rsidP="00706CCF">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Centennial had 150 office buildings offering over 5.6 million square feet of space in the </w:t>
      </w:r>
      <w:r w:rsidR="002D3F14">
        <w:rPr>
          <w:bCs/>
          <w:iCs/>
          <w:sz w:val="20"/>
          <w:szCs w:val="20"/>
        </w:rPr>
        <w:t>third</w:t>
      </w:r>
      <w:r w:rsidRPr="005068B5">
        <w:rPr>
          <w:bCs/>
          <w:iCs/>
          <w:sz w:val="20"/>
          <w:szCs w:val="20"/>
        </w:rPr>
        <w:t xml:space="preserve"> quarter of 2019. The Southeast office market increased by 5 buildings over-the-year, while the Metro Denver office market increased by 0.5 percent, or 33 buildings, during the period. </w:t>
      </w:r>
    </w:p>
    <w:p w14:paraId="52700C39" w14:textId="591D978C" w:rsidR="00512CB1" w:rsidRPr="005068B5" w:rsidRDefault="002D3F14" w:rsidP="00706CCF">
      <w:pPr>
        <w:pStyle w:val="ListParagraph"/>
        <w:numPr>
          <w:ilvl w:val="0"/>
          <w:numId w:val="2"/>
        </w:numPr>
        <w:spacing w:before="120" w:after="120" w:line="240" w:lineRule="auto"/>
        <w:ind w:left="360"/>
        <w:contextualSpacing w:val="0"/>
        <w:rPr>
          <w:bCs/>
          <w:iCs/>
          <w:sz w:val="20"/>
          <w:szCs w:val="20"/>
        </w:rPr>
      </w:pPr>
      <w:r w:rsidRPr="005068B5">
        <w:rPr>
          <w:noProof/>
        </w:rPr>
        <w:lastRenderedPageBreak/>
        <w:drawing>
          <wp:anchor distT="0" distB="0" distL="114300" distR="114300" simplePos="0" relativeHeight="251911168" behindDoc="0" locked="0" layoutInCell="1" allowOverlap="1" wp14:anchorId="42CAF703" wp14:editId="5F4BC5CD">
            <wp:simplePos x="0" y="0"/>
            <wp:positionH relativeFrom="margin">
              <wp:align>center</wp:align>
            </wp:positionH>
            <wp:positionV relativeFrom="paragraph">
              <wp:posOffset>600103</wp:posOffset>
            </wp:positionV>
            <wp:extent cx="4636008" cy="1783080"/>
            <wp:effectExtent l="0" t="0" r="0" b="762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36008" cy="1783080"/>
                    </a:xfrm>
                    <a:prstGeom prst="rect">
                      <a:avLst/>
                    </a:prstGeom>
                    <a:noFill/>
                    <a:ln>
                      <a:noFill/>
                    </a:ln>
                  </pic:spPr>
                </pic:pic>
              </a:graphicData>
            </a:graphic>
          </wp:anchor>
        </w:drawing>
      </w:r>
      <w:r w:rsidR="00512CB1" w:rsidRPr="005068B5">
        <w:rPr>
          <w:bCs/>
          <w:iCs/>
          <w:sz w:val="20"/>
          <w:szCs w:val="20"/>
        </w:rPr>
        <w:t xml:space="preserve">The office vacancy rate in Centennial increased 2 percentage points to 10.6 percent vacancy between the third quarters of 2018 and 2019. The vacancy rate increased 0.5 percentage points in the Southeast office market to 11.3 percent and decreased 0.4 percentage points to 9.1 percent in Metro Denver. </w:t>
      </w:r>
    </w:p>
    <w:p w14:paraId="5344C5E3" w14:textId="0DA1950C" w:rsidR="00512CB1" w:rsidRPr="005068B5" w:rsidRDefault="00512CB1" w:rsidP="00CD5CC5">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The average lease rate in Centennial </w:t>
      </w:r>
      <w:r w:rsidR="00DE63EC" w:rsidRPr="005068B5">
        <w:rPr>
          <w:bCs/>
          <w:iCs/>
          <w:sz w:val="20"/>
          <w:szCs w:val="20"/>
        </w:rPr>
        <w:t>increased 6.3 percent to $23.48 per square foot over-the-year. The office lease rate in the Southeast market increased 3.7 percent, and in the Metro Denver market the lease rate increased 1.8 percent to $27.09 per square foot.</w:t>
      </w:r>
    </w:p>
    <w:p w14:paraId="3984D6F0" w14:textId="5CB5E0B9" w:rsidR="00733552" w:rsidRPr="005068B5" w:rsidRDefault="00DE63EC" w:rsidP="00733552">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There was negative net absorption in Centennial, falling by 61,017 square feet over-the-year. Nearly 3 million square feet of office space was absorbed in Metro Denver over the past four quarters.</w:t>
      </w:r>
    </w:p>
    <w:p w14:paraId="487B11FE" w14:textId="77777777" w:rsidR="003577B3" w:rsidRPr="003577B3" w:rsidRDefault="003577B3" w:rsidP="003577B3">
      <w:pPr>
        <w:pStyle w:val="ListParagraph"/>
        <w:spacing w:before="120" w:after="120" w:line="240" w:lineRule="auto"/>
        <w:ind w:left="360"/>
        <w:contextualSpacing w:val="0"/>
        <w:rPr>
          <w:bCs/>
          <w:iCs/>
          <w:color w:val="FF0000"/>
          <w:sz w:val="20"/>
          <w:szCs w:val="20"/>
        </w:rPr>
      </w:pPr>
    </w:p>
    <w:p w14:paraId="774412A2" w14:textId="3FBC653E" w:rsidR="00B240FF" w:rsidRDefault="00B240FF" w:rsidP="00B240FF">
      <w:pPr>
        <w:pStyle w:val="Heading2"/>
      </w:pPr>
      <w:r>
        <w:t>Industrial/Flex Market</w:t>
      </w:r>
    </w:p>
    <w:p w14:paraId="7BCD283A" w14:textId="1C752278" w:rsidR="00DE63EC" w:rsidRPr="005068B5" w:rsidRDefault="00DE63EC" w:rsidP="00720D07">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Centennial added 2 industrial and flex buildings between the third quarter of 2018 and 2019, totaling 137 buildings across 4,285,520 square feet of industrial/flex space. There was 119,200 square feet added over-the-year, an increase of 2.9 percent compared with the same time last year. </w:t>
      </w:r>
    </w:p>
    <w:p w14:paraId="54B81009" w14:textId="5F1D81B7" w:rsidR="00DE63EC" w:rsidRPr="005068B5" w:rsidRDefault="00DE63EC" w:rsidP="00720D07">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The industrial/flex vacancy rate for Centennial decreased 0.6 percentage points over-the-year, falling to 6.4 percent. The vacancy rate increased 1.1 percentage points in the Southeast industrial/flex market and increased 0.8 percentage points in Metro Denver, rising to 5.1 percent vacancy. </w:t>
      </w:r>
    </w:p>
    <w:p w14:paraId="0A062DBD" w14:textId="05F5BC8E" w:rsidR="00DE63EC" w:rsidRPr="005068B5" w:rsidRDefault="00DE63EC" w:rsidP="00720D07">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 average lease rate in the industrial/flex market in Centennial increased 4.4 percent to $10.45 per square foot. The Southeast market reported a 1.2 percent increase to $10.66 per square foot, while Metro Denver reported an increase of 6.9 percent to $9.41 per square foot over-the-year.</w:t>
      </w:r>
    </w:p>
    <w:p w14:paraId="6A9F9838" w14:textId="61BC178E" w:rsidR="00C95417" w:rsidRPr="008D1488" w:rsidRDefault="003577B3" w:rsidP="00E835A8">
      <w:pPr>
        <w:pStyle w:val="ListParagraph"/>
        <w:numPr>
          <w:ilvl w:val="0"/>
          <w:numId w:val="2"/>
        </w:numPr>
        <w:spacing w:before="120" w:after="120" w:line="240" w:lineRule="auto"/>
        <w:ind w:left="360"/>
        <w:contextualSpacing w:val="0"/>
        <w:rPr>
          <w:bCs/>
          <w:iCs/>
          <w:sz w:val="20"/>
          <w:szCs w:val="20"/>
        </w:rPr>
      </w:pPr>
      <w:r w:rsidRPr="005068B5">
        <w:rPr>
          <w:noProof/>
        </w:rPr>
        <w:drawing>
          <wp:anchor distT="0" distB="0" distL="114300" distR="114300" simplePos="0" relativeHeight="251912192" behindDoc="0" locked="0" layoutInCell="1" allowOverlap="1" wp14:anchorId="6AE0FA75" wp14:editId="5240EDBB">
            <wp:simplePos x="0" y="0"/>
            <wp:positionH relativeFrom="margin">
              <wp:align>center</wp:align>
            </wp:positionH>
            <wp:positionV relativeFrom="paragraph">
              <wp:posOffset>549192</wp:posOffset>
            </wp:positionV>
            <wp:extent cx="4636008" cy="1783080"/>
            <wp:effectExtent l="0" t="0" r="0" b="762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36008" cy="1783080"/>
                    </a:xfrm>
                    <a:prstGeom prst="rect">
                      <a:avLst/>
                    </a:prstGeom>
                    <a:noFill/>
                    <a:ln>
                      <a:noFill/>
                    </a:ln>
                  </pic:spPr>
                </pic:pic>
              </a:graphicData>
            </a:graphic>
          </wp:anchor>
        </w:drawing>
      </w:r>
      <w:r w:rsidR="00DE63EC" w:rsidRPr="005068B5">
        <w:rPr>
          <w:bCs/>
          <w:iCs/>
          <w:sz w:val="20"/>
          <w:szCs w:val="20"/>
        </w:rPr>
        <w:t xml:space="preserve">There was 133,746 square feet of industrial/flex space absorbed in Centennial over the past year, while there was 4.9 million square feet absorbed in Metro Denver during the period. </w:t>
      </w:r>
    </w:p>
    <w:p w14:paraId="2D33C0C9" w14:textId="0AAEAFEC" w:rsidR="00E835A8" w:rsidRDefault="00E835A8" w:rsidP="00E835A8">
      <w:pPr>
        <w:pStyle w:val="Heading2"/>
      </w:pPr>
      <w:r>
        <w:lastRenderedPageBreak/>
        <w:t>Retail Market</w:t>
      </w:r>
    </w:p>
    <w:p w14:paraId="422B135F" w14:textId="46046003" w:rsidR="008F3A6D" w:rsidRPr="005068B5" w:rsidRDefault="008F3A6D" w:rsidP="00826C06">
      <w:pPr>
        <w:pStyle w:val="ListParagraph"/>
        <w:numPr>
          <w:ilvl w:val="0"/>
          <w:numId w:val="2"/>
        </w:numPr>
        <w:spacing w:before="120" w:after="120" w:line="240" w:lineRule="auto"/>
        <w:ind w:left="360"/>
        <w:contextualSpacing w:val="0"/>
        <w:rPr>
          <w:bCs/>
          <w:iCs/>
          <w:sz w:val="20"/>
          <w:szCs w:val="20"/>
        </w:rPr>
      </w:pPr>
      <w:r w:rsidRPr="005068B5">
        <w:rPr>
          <w:bCs/>
          <w:iCs/>
          <w:sz w:val="20"/>
          <w:szCs w:val="20"/>
        </w:rPr>
        <w:t xml:space="preserve">Centennial had 177 retail buildings offering over 3.9 million square feet of space, representing 19.1 percent of the retail space in the Southeast market and 2.3 percent of space in Metro Denver. </w:t>
      </w:r>
    </w:p>
    <w:p w14:paraId="30E42298" w14:textId="451F58CF" w:rsidR="008F3A6D" w:rsidRPr="005068B5" w:rsidRDefault="008F3A6D" w:rsidP="00826C06">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 retail vacancy rate in Centennial increased 0.5 percentage points to 5.2 percent between the third quarters of 2018 and 2019. Vacancy in the Southeast market decreased 0.3 percentage points to 3.3 percent and vacancy rose 0.3 percentage points to 4.4 percent in the Metro Denver retail market during the period.</w:t>
      </w:r>
    </w:p>
    <w:p w14:paraId="39D3C766" w14:textId="538740BE" w:rsidR="008F3A6D" w:rsidRPr="005068B5" w:rsidRDefault="008F3A6D" w:rsidP="00826C06">
      <w:pPr>
        <w:pStyle w:val="ListParagraph"/>
        <w:numPr>
          <w:ilvl w:val="0"/>
          <w:numId w:val="2"/>
        </w:numPr>
        <w:spacing w:before="120" w:after="120" w:line="240" w:lineRule="auto"/>
        <w:ind w:left="360"/>
        <w:contextualSpacing w:val="0"/>
        <w:rPr>
          <w:bCs/>
          <w:iCs/>
          <w:sz w:val="20"/>
          <w:szCs w:val="20"/>
        </w:rPr>
      </w:pPr>
      <w:r w:rsidRPr="005068B5">
        <w:rPr>
          <w:bCs/>
          <w:iCs/>
          <w:sz w:val="20"/>
          <w:szCs w:val="20"/>
        </w:rPr>
        <w:t>The average lease rate for the Centennial retail market decreased 0.6 percent to $17.82 per square foot. The Southeast market reported a 1.</w:t>
      </w:r>
      <w:r w:rsidR="002D3F14">
        <w:rPr>
          <w:bCs/>
          <w:iCs/>
          <w:sz w:val="20"/>
          <w:szCs w:val="20"/>
        </w:rPr>
        <w:t>6</w:t>
      </w:r>
      <w:r w:rsidRPr="005068B5">
        <w:rPr>
          <w:bCs/>
          <w:iCs/>
          <w:sz w:val="20"/>
          <w:szCs w:val="20"/>
        </w:rPr>
        <w:t xml:space="preserve"> percent increase over-the-year to $2</w:t>
      </w:r>
      <w:r w:rsidR="002D3F14">
        <w:rPr>
          <w:bCs/>
          <w:iCs/>
          <w:sz w:val="20"/>
          <w:szCs w:val="20"/>
        </w:rPr>
        <w:t>0.44</w:t>
      </w:r>
      <w:r w:rsidRPr="005068B5">
        <w:rPr>
          <w:bCs/>
          <w:iCs/>
          <w:sz w:val="20"/>
          <w:szCs w:val="20"/>
        </w:rPr>
        <w:t xml:space="preserve"> per square foot, while the Metro Denver lease rate decreased 2.4 percent to $18.52 per square foot during the period.</w:t>
      </w:r>
    </w:p>
    <w:p w14:paraId="71578A15" w14:textId="7738CB02" w:rsidR="008F3A6D" w:rsidRPr="005068B5" w:rsidRDefault="008F3A6D" w:rsidP="00E93F54">
      <w:pPr>
        <w:pStyle w:val="ListParagraph"/>
        <w:numPr>
          <w:ilvl w:val="0"/>
          <w:numId w:val="2"/>
        </w:numPr>
        <w:spacing w:before="120" w:after="120" w:line="240" w:lineRule="auto"/>
        <w:ind w:left="360"/>
        <w:contextualSpacing w:val="0"/>
        <w:rPr>
          <w:bCs/>
          <w:iCs/>
          <w:sz w:val="20"/>
          <w:szCs w:val="20"/>
        </w:rPr>
      </w:pPr>
      <w:r w:rsidRPr="005068B5">
        <w:rPr>
          <w:noProof/>
        </w:rPr>
        <w:drawing>
          <wp:anchor distT="0" distB="0" distL="114300" distR="114300" simplePos="0" relativeHeight="251913216" behindDoc="0" locked="0" layoutInCell="1" allowOverlap="1" wp14:anchorId="45ADC2D5" wp14:editId="363FC7F9">
            <wp:simplePos x="0" y="0"/>
            <wp:positionH relativeFrom="margin">
              <wp:align>center</wp:align>
            </wp:positionH>
            <wp:positionV relativeFrom="paragraph">
              <wp:posOffset>605790</wp:posOffset>
            </wp:positionV>
            <wp:extent cx="4654296" cy="1901952"/>
            <wp:effectExtent l="0" t="0" r="0" b="317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4296" cy="1901952"/>
                    </a:xfrm>
                    <a:prstGeom prst="rect">
                      <a:avLst/>
                    </a:prstGeom>
                    <a:noFill/>
                    <a:ln>
                      <a:noFill/>
                    </a:ln>
                  </pic:spPr>
                </pic:pic>
              </a:graphicData>
            </a:graphic>
          </wp:anchor>
        </w:drawing>
      </w:r>
      <w:r w:rsidRPr="005068B5">
        <w:rPr>
          <w:bCs/>
          <w:iCs/>
          <w:sz w:val="20"/>
          <w:szCs w:val="20"/>
        </w:rPr>
        <w:t>There was negative net absorption of retail space in Centennial of 20,136 square feet between the third quarters of 2018 and 2019. The Southeast and Metro Denver retail markets reported positive net absorption of 127,475 and 172,891 square feet, respectively.</w:t>
      </w:r>
    </w:p>
    <w:p w14:paraId="3410F28F" w14:textId="0FE1B9F1" w:rsidR="007F5CE5" w:rsidRDefault="007F5CE5" w:rsidP="00BD1551">
      <w:pPr>
        <w:pStyle w:val="ListParagraph"/>
        <w:spacing w:before="120" w:after="120" w:line="240" w:lineRule="auto"/>
        <w:ind w:left="360"/>
        <w:contextualSpacing w:val="0"/>
        <w:rPr>
          <w:bCs/>
          <w:iCs/>
          <w:color w:val="FF0000"/>
          <w:sz w:val="20"/>
          <w:szCs w:val="20"/>
        </w:rPr>
      </w:pPr>
    </w:p>
    <w:p w14:paraId="1F54B5D5" w14:textId="0052C2AF" w:rsidR="00E93F54" w:rsidRDefault="00E93F54" w:rsidP="00BD1551">
      <w:pPr>
        <w:pStyle w:val="ListParagraph"/>
        <w:spacing w:before="120" w:after="120" w:line="240" w:lineRule="auto"/>
        <w:ind w:left="360"/>
        <w:contextualSpacing w:val="0"/>
        <w:rPr>
          <w:bCs/>
          <w:iCs/>
          <w:color w:val="FF0000"/>
          <w:sz w:val="20"/>
          <w:szCs w:val="20"/>
        </w:rPr>
      </w:pPr>
    </w:p>
    <w:p w14:paraId="6D8CDAB9" w14:textId="50A2DF15" w:rsidR="00E93F54" w:rsidRPr="00BD1551" w:rsidRDefault="00E93F54" w:rsidP="00BD1551">
      <w:pPr>
        <w:pStyle w:val="ListParagraph"/>
        <w:spacing w:before="120" w:after="120" w:line="240" w:lineRule="auto"/>
        <w:ind w:left="360"/>
        <w:contextualSpacing w:val="0"/>
        <w:rPr>
          <w:bCs/>
          <w:iCs/>
          <w:color w:val="FF0000"/>
          <w:sz w:val="20"/>
          <w:szCs w:val="20"/>
        </w:rPr>
        <w:sectPr w:rsidR="00E93F54" w:rsidRPr="00BD1551" w:rsidSect="009D3705">
          <w:headerReference w:type="default" r:id="rId34"/>
          <w:footerReference w:type="default" r:id="rId35"/>
          <w:pgSz w:w="12240" w:h="15840"/>
          <w:pgMar w:top="1440" w:right="1440" w:bottom="1440" w:left="1440" w:header="720" w:footer="720" w:gutter="0"/>
          <w:cols w:space="720"/>
          <w:titlePg/>
          <w:docGrid w:linePitch="360"/>
        </w:sectPr>
      </w:pPr>
    </w:p>
    <w:p w14:paraId="4FAFD455" w14:textId="020359F1" w:rsidR="00932E5B" w:rsidRDefault="008D1488" w:rsidP="00BE59C9">
      <w:pPr>
        <w:spacing w:after="0" w:line="240" w:lineRule="auto"/>
        <w:rPr>
          <w:rFonts w:ascii="Times New Roman" w:hAnsi="Times New Roman" w:cs="Times New Roman"/>
          <w:i/>
          <w:sz w:val="18"/>
        </w:rPr>
      </w:pPr>
      <w:r w:rsidRPr="005068B5">
        <w:rPr>
          <w:bCs/>
          <w:iCs/>
          <w:noProof/>
          <w:sz w:val="20"/>
          <w:szCs w:val="20"/>
        </w:rPr>
        <w:drawing>
          <wp:anchor distT="0" distB="0" distL="114300" distR="114300" simplePos="0" relativeHeight="251914240" behindDoc="0" locked="0" layoutInCell="1" allowOverlap="1" wp14:anchorId="2D904C83" wp14:editId="52F7E1CD">
            <wp:simplePos x="0" y="0"/>
            <wp:positionH relativeFrom="margin">
              <wp:align>center</wp:align>
            </wp:positionH>
            <wp:positionV relativeFrom="paragraph">
              <wp:posOffset>277</wp:posOffset>
            </wp:positionV>
            <wp:extent cx="4480560" cy="2606040"/>
            <wp:effectExtent l="0" t="0" r="0" b="381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80560" cy="2606040"/>
                    </a:xfrm>
                    <a:prstGeom prst="rect">
                      <a:avLst/>
                    </a:prstGeom>
                    <a:noFill/>
                  </pic:spPr>
                </pic:pic>
              </a:graphicData>
            </a:graphic>
          </wp:anchor>
        </w:drawing>
      </w:r>
    </w:p>
    <w:p w14:paraId="2771A31D" w14:textId="37C13629" w:rsidR="00932E5B" w:rsidRDefault="00932E5B" w:rsidP="00BE59C9">
      <w:pPr>
        <w:spacing w:after="0" w:line="240" w:lineRule="auto"/>
        <w:rPr>
          <w:rFonts w:ascii="Times New Roman" w:hAnsi="Times New Roman" w:cs="Times New Roman"/>
          <w:i/>
          <w:sz w:val="18"/>
        </w:rPr>
      </w:pPr>
    </w:p>
    <w:p w14:paraId="4D8B4808" w14:textId="47FADF58" w:rsidR="00932E5B" w:rsidRDefault="00932E5B" w:rsidP="00BE59C9">
      <w:pPr>
        <w:spacing w:after="0" w:line="240" w:lineRule="auto"/>
        <w:rPr>
          <w:rFonts w:ascii="Times New Roman" w:hAnsi="Times New Roman" w:cs="Times New Roman"/>
          <w:i/>
          <w:sz w:val="18"/>
        </w:rPr>
      </w:pPr>
    </w:p>
    <w:p w14:paraId="54D043A4" w14:textId="77777777" w:rsidR="00E93F54" w:rsidRDefault="00E93F54" w:rsidP="00BE59C9">
      <w:pPr>
        <w:spacing w:after="0" w:line="240" w:lineRule="auto"/>
        <w:rPr>
          <w:rFonts w:ascii="Times New Roman" w:hAnsi="Times New Roman" w:cs="Times New Roman"/>
          <w:i/>
          <w:sz w:val="18"/>
        </w:rPr>
      </w:pPr>
    </w:p>
    <w:p w14:paraId="5BF04DC4" w14:textId="77777777" w:rsidR="00E93F54" w:rsidRDefault="00E93F54" w:rsidP="00BE59C9">
      <w:pPr>
        <w:spacing w:after="0" w:line="240" w:lineRule="auto"/>
        <w:rPr>
          <w:rFonts w:ascii="Times New Roman" w:hAnsi="Times New Roman" w:cs="Times New Roman"/>
          <w:i/>
          <w:sz w:val="18"/>
        </w:rPr>
      </w:pPr>
    </w:p>
    <w:p w14:paraId="21E8CBD1" w14:textId="07E08A4A" w:rsidR="00E93F54" w:rsidRDefault="00E93F54" w:rsidP="00BE59C9">
      <w:pPr>
        <w:spacing w:after="0" w:line="240" w:lineRule="auto"/>
        <w:rPr>
          <w:rFonts w:ascii="Times New Roman" w:hAnsi="Times New Roman" w:cs="Times New Roman"/>
          <w:i/>
          <w:sz w:val="18"/>
        </w:rPr>
      </w:pPr>
    </w:p>
    <w:p w14:paraId="4C25FB58" w14:textId="77777777" w:rsidR="008D1488" w:rsidRDefault="008D1488" w:rsidP="00BE59C9">
      <w:pPr>
        <w:spacing w:after="0" w:line="240" w:lineRule="auto"/>
        <w:rPr>
          <w:rFonts w:ascii="Times New Roman" w:hAnsi="Times New Roman" w:cs="Times New Roman"/>
          <w:i/>
          <w:sz w:val="18"/>
        </w:rPr>
      </w:pPr>
    </w:p>
    <w:p w14:paraId="00125446" w14:textId="77777777" w:rsidR="00E93F54" w:rsidRDefault="00E93F54" w:rsidP="00BE59C9">
      <w:pPr>
        <w:spacing w:after="0" w:line="240" w:lineRule="auto"/>
        <w:rPr>
          <w:rFonts w:ascii="Times New Roman" w:hAnsi="Times New Roman" w:cs="Times New Roman"/>
          <w:i/>
          <w:sz w:val="18"/>
        </w:rPr>
      </w:pPr>
    </w:p>
    <w:p w14:paraId="53FA0A00" w14:textId="39F4BEF3" w:rsidR="00E93F54" w:rsidRPr="00E93F54" w:rsidRDefault="00BE59C9" w:rsidP="00BE59C9">
      <w:pPr>
        <w:spacing w:after="0" w:line="240" w:lineRule="auto"/>
        <w:rPr>
          <w:rFonts w:ascii="Times New Roman" w:hAnsi="Times New Roman" w:cs="Times New Roman"/>
          <w:i/>
          <w:sz w:val="18"/>
        </w:rPr>
      </w:pPr>
      <w:r w:rsidRPr="00EB0A68">
        <w:rPr>
          <w:rFonts w:ascii="Times New Roman" w:hAnsi="Times New Roman" w:cs="Times New Roman"/>
          <w:i/>
          <w:sz w:val="18"/>
        </w:rPr>
        <w:t>Prepared by:</w:t>
      </w:r>
    </w:p>
    <w:p w14:paraId="735017E7" w14:textId="4BB40393" w:rsidR="00BE59C9" w:rsidRPr="00EB0A68" w:rsidRDefault="00BE59C9" w:rsidP="00BE59C9">
      <w:pPr>
        <w:spacing w:after="0" w:line="240" w:lineRule="auto"/>
        <w:rPr>
          <w:rFonts w:ascii="Times New Roman" w:hAnsi="Times New Roman" w:cs="Times New Roman"/>
          <w:sz w:val="18"/>
        </w:rPr>
      </w:pPr>
      <w:r w:rsidRPr="00EB0A68">
        <w:rPr>
          <w:rFonts w:ascii="Times New Roman" w:hAnsi="Times New Roman" w:cs="Times New Roman"/>
          <w:sz w:val="18"/>
        </w:rPr>
        <w:t>Development Research Partners, Inc.</w:t>
      </w:r>
    </w:p>
    <w:p w14:paraId="62B1E03E" w14:textId="77777777" w:rsidR="00BE59C9" w:rsidRPr="00EB0A68" w:rsidRDefault="00BE59C9" w:rsidP="00BE59C9">
      <w:pPr>
        <w:spacing w:after="0" w:line="240" w:lineRule="auto"/>
        <w:rPr>
          <w:rFonts w:ascii="Times New Roman" w:hAnsi="Times New Roman" w:cs="Times New Roman"/>
          <w:sz w:val="18"/>
        </w:rPr>
      </w:pPr>
      <w:r w:rsidRPr="00EB0A68">
        <w:rPr>
          <w:rFonts w:ascii="Times New Roman" w:hAnsi="Times New Roman" w:cs="Times New Roman"/>
          <w:sz w:val="18"/>
        </w:rPr>
        <w:t>10184 West Belleview Ave, Ste 100</w:t>
      </w:r>
    </w:p>
    <w:p w14:paraId="5CF496F1" w14:textId="77777777" w:rsidR="00BE59C9" w:rsidRPr="00EB0A68" w:rsidRDefault="00BE59C9" w:rsidP="00BE59C9">
      <w:pPr>
        <w:spacing w:after="0" w:line="240" w:lineRule="auto"/>
        <w:rPr>
          <w:rFonts w:ascii="Times New Roman" w:hAnsi="Times New Roman" w:cs="Times New Roman"/>
          <w:sz w:val="18"/>
        </w:rPr>
      </w:pPr>
      <w:r w:rsidRPr="00EB0A68">
        <w:rPr>
          <w:rFonts w:ascii="Times New Roman" w:hAnsi="Times New Roman" w:cs="Times New Roman"/>
          <w:sz w:val="18"/>
        </w:rPr>
        <w:t>Littleton, Colorado 80127</w:t>
      </w:r>
    </w:p>
    <w:p w14:paraId="2E4F9563" w14:textId="77777777" w:rsidR="00BE59C9" w:rsidRPr="00EB0A68" w:rsidRDefault="00BE59C9" w:rsidP="00BE59C9">
      <w:pPr>
        <w:spacing w:after="0" w:line="240" w:lineRule="auto"/>
        <w:rPr>
          <w:rFonts w:ascii="Times New Roman" w:hAnsi="Times New Roman" w:cs="Times New Roman"/>
          <w:sz w:val="18"/>
        </w:rPr>
      </w:pPr>
      <w:r w:rsidRPr="00EB0A68">
        <w:rPr>
          <w:rFonts w:ascii="Times New Roman" w:hAnsi="Times New Roman" w:cs="Times New Roman"/>
          <w:sz w:val="18"/>
        </w:rPr>
        <w:t>303-991-0070</w:t>
      </w:r>
    </w:p>
    <w:p w14:paraId="3E22B7C7" w14:textId="77777777" w:rsidR="00BE59C9" w:rsidRPr="00EB0A68" w:rsidRDefault="00BE59C9" w:rsidP="00BE59C9">
      <w:pPr>
        <w:spacing w:after="0" w:line="240" w:lineRule="auto"/>
        <w:rPr>
          <w:rFonts w:ascii="Times New Roman" w:hAnsi="Times New Roman" w:cs="Times New Roman"/>
          <w:sz w:val="18"/>
        </w:rPr>
      </w:pPr>
      <w:r w:rsidRPr="00EB0A68">
        <w:rPr>
          <w:rFonts w:ascii="Times New Roman" w:hAnsi="Times New Roman" w:cs="Times New Roman"/>
          <w:sz w:val="18"/>
        </w:rPr>
        <w:t>www.developmentresearch.net</w:t>
      </w:r>
    </w:p>
    <w:p w14:paraId="54F12BB4" w14:textId="12D79888" w:rsidR="00BE59C9" w:rsidRPr="00531982" w:rsidRDefault="008F3A6D" w:rsidP="00531982">
      <w:pPr>
        <w:spacing w:after="0" w:line="240" w:lineRule="auto"/>
        <w:rPr>
          <w:b/>
          <w:sz w:val="28"/>
          <w:szCs w:val="28"/>
        </w:rPr>
        <w:sectPr w:rsidR="00BE59C9" w:rsidRPr="00531982" w:rsidSect="00531982">
          <w:type w:val="continuous"/>
          <w:pgSz w:w="12240" w:h="15840"/>
          <w:pgMar w:top="1440" w:right="1440" w:bottom="1440" w:left="1440" w:header="720" w:footer="720" w:gutter="0"/>
          <w:cols w:space="720"/>
          <w:docGrid w:linePitch="360"/>
        </w:sectPr>
      </w:pPr>
      <w:r>
        <w:rPr>
          <w:rFonts w:ascii="Times New Roman" w:hAnsi="Times New Roman" w:cs="Times New Roman"/>
          <w:sz w:val="18"/>
        </w:rPr>
        <w:t>October</w:t>
      </w:r>
      <w:r w:rsidR="00F63290">
        <w:rPr>
          <w:rFonts w:ascii="Times New Roman" w:hAnsi="Times New Roman" w:cs="Times New Roman"/>
          <w:sz w:val="18"/>
        </w:rPr>
        <w:t xml:space="preserve"> 201</w:t>
      </w:r>
      <w:r w:rsidR="003A5384">
        <w:rPr>
          <w:rFonts w:ascii="Times New Roman" w:hAnsi="Times New Roman" w:cs="Times New Roman"/>
          <w:sz w:val="18"/>
        </w:rPr>
        <w:t>9</w:t>
      </w:r>
    </w:p>
    <w:p w14:paraId="43266D22" w14:textId="77777777" w:rsidR="005478F9" w:rsidRPr="005478F9" w:rsidRDefault="005478F9" w:rsidP="005478F9"/>
    <w:sectPr w:rsidR="005478F9" w:rsidRPr="005478F9" w:rsidSect="00BE59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A150" w14:textId="77777777" w:rsidR="00AF71B6" w:rsidRDefault="00AF71B6" w:rsidP="001942E4">
      <w:pPr>
        <w:spacing w:after="0" w:line="240" w:lineRule="auto"/>
      </w:pPr>
      <w:r>
        <w:separator/>
      </w:r>
    </w:p>
  </w:endnote>
  <w:endnote w:type="continuationSeparator" w:id="0">
    <w:p w14:paraId="4ED0A83C" w14:textId="77777777" w:rsidR="00AF71B6" w:rsidRDefault="00AF71B6" w:rsidP="0019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227275"/>
      <w:docPartObj>
        <w:docPartGallery w:val="Page Numbers (Bottom of Page)"/>
        <w:docPartUnique/>
      </w:docPartObj>
    </w:sdtPr>
    <w:sdtEndPr>
      <w:rPr>
        <w:noProof/>
      </w:rPr>
    </w:sdtEndPr>
    <w:sdtContent>
      <w:p w14:paraId="5218FAB1" w14:textId="77777777" w:rsidR="00BE59C9" w:rsidRDefault="00BE59C9" w:rsidP="00BD1551">
        <w:pPr>
          <w:pStyle w:val="Footer"/>
          <w:jc w:val="right"/>
        </w:pPr>
        <w:r>
          <w:t xml:space="preserve">Page | </w:t>
        </w:r>
        <w:r>
          <w:fldChar w:fldCharType="begin"/>
        </w:r>
        <w:r>
          <w:instrText xml:space="preserve"> PAGE   \* MERGEFORMAT </w:instrText>
        </w:r>
        <w:r>
          <w:fldChar w:fldCharType="separate"/>
        </w:r>
        <w:r w:rsidR="0020381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2637" w14:textId="77777777" w:rsidR="00AF71B6" w:rsidRDefault="00AF71B6" w:rsidP="001942E4">
      <w:pPr>
        <w:spacing w:after="0" w:line="240" w:lineRule="auto"/>
      </w:pPr>
      <w:r>
        <w:separator/>
      </w:r>
    </w:p>
  </w:footnote>
  <w:footnote w:type="continuationSeparator" w:id="0">
    <w:p w14:paraId="72D703EC" w14:textId="77777777" w:rsidR="00AF71B6" w:rsidRDefault="00AF71B6" w:rsidP="001942E4">
      <w:pPr>
        <w:spacing w:after="0" w:line="240" w:lineRule="auto"/>
      </w:pPr>
      <w:r>
        <w:continuationSeparator/>
      </w:r>
    </w:p>
  </w:footnote>
  <w:footnote w:id="1">
    <w:p w14:paraId="49C752FC" w14:textId="77777777" w:rsidR="000C4D56" w:rsidRPr="001631AE" w:rsidRDefault="000C4D56" w:rsidP="000C4D56">
      <w:pPr>
        <w:spacing w:before="120" w:after="120" w:line="240" w:lineRule="auto"/>
        <w:rPr>
          <w:sz w:val="18"/>
        </w:rPr>
      </w:pPr>
      <w:r>
        <w:rPr>
          <w:rStyle w:val="FootnoteReference"/>
        </w:rPr>
        <w:footnoteRef/>
      </w:r>
      <w:r>
        <w:t xml:space="preserve"> </w:t>
      </w:r>
      <w:r w:rsidRPr="00823812">
        <w:rPr>
          <w:sz w:val="18"/>
        </w:rPr>
        <w:t>Metro Denver is comprised of seven-counties, consisting of Adams, Arapahoe, Boulder, Broomfield, Denver, Douglas, and Jefferson Counties.</w:t>
      </w:r>
    </w:p>
  </w:footnote>
  <w:footnote w:id="2">
    <w:p w14:paraId="6BA3B7DE" w14:textId="77777777" w:rsidR="000C4D56" w:rsidRDefault="000C4D56" w:rsidP="000C4D56">
      <w:pPr>
        <w:pStyle w:val="FootnoteText"/>
      </w:pPr>
      <w:r>
        <w:rPr>
          <w:rStyle w:val="FootnoteReference"/>
        </w:rPr>
        <w:footnoteRef/>
      </w:r>
      <w:r>
        <w:t xml:space="preserve"> </w:t>
      </w:r>
      <w:r w:rsidRPr="00415B85">
        <w:rPr>
          <w:sz w:val="18"/>
        </w:rPr>
        <w:t>A detailed list of the types of companies found within each North American Industry Classification System (NAICS) sector may be found at https://www.census.gov/cgi-bin/sssd/naics/naicsrch?chart=2017.</w:t>
      </w:r>
    </w:p>
  </w:footnote>
  <w:footnote w:id="3">
    <w:p w14:paraId="45852236" w14:textId="1AD43175" w:rsidR="00CC7EBB" w:rsidRDefault="00CC7EBB">
      <w:pPr>
        <w:pStyle w:val="FootnoteText"/>
      </w:pPr>
      <w:r>
        <w:rPr>
          <w:rStyle w:val="FootnoteReference"/>
        </w:rPr>
        <w:footnoteRef/>
      </w:r>
      <w:r>
        <w:t xml:space="preserve"> </w:t>
      </w:r>
      <w:r w:rsidRPr="00804DA4">
        <w:rPr>
          <w:sz w:val="18"/>
        </w:rPr>
        <w:t>Arapahoe County-South Boundary: North: City of Englewood and City and County of Denver; East: I-25; South: Douglas County; West: City of Englewood and City of Littleton.</w:t>
      </w:r>
    </w:p>
  </w:footnote>
  <w:footnote w:id="4">
    <w:p w14:paraId="0378386E" w14:textId="1034072D" w:rsidR="00CC7EBB" w:rsidRDefault="00CC7EBB">
      <w:pPr>
        <w:pStyle w:val="FootnoteText"/>
      </w:pPr>
      <w:r>
        <w:rPr>
          <w:rStyle w:val="FootnoteReference"/>
        </w:rPr>
        <w:footnoteRef/>
      </w:r>
      <w:r>
        <w:t xml:space="preserve"> </w:t>
      </w:r>
      <w:r w:rsidRPr="00804DA4">
        <w:rPr>
          <w:sz w:val="18"/>
        </w:rPr>
        <w:t>Arapahoe County-Southeast Boundary: North: Arapahoe County Line; East: Havana/Parker Road; South: Douglas County; West: I-25.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1D9E" w14:textId="77777777" w:rsidR="00BE59C9" w:rsidRDefault="00BE59C9" w:rsidP="00BE59C9">
    <w:pPr>
      <w:pStyle w:val="Header"/>
    </w:pPr>
  </w:p>
  <w:p w14:paraId="08322140" w14:textId="1B77686B" w:rsidR="001942E4" w:rsidRDefault="001942E4" w:rsidP="00BD1551">
    <w:pPr>
      <w:pStyle w:val="Header"/>
      <w:jc w:val="right"/>
    </w:pPr>
    <w:r>
      <w:t>City of Centennial</w:t>
    </w:r>
    <w:r w:rsidR="00BE59C9">
      <w:t xml:space="preserve"> </w:t>
    </w:r>
    <w:r>
      <w:t>Quarterly Economic Report</w:t>
    </w:r>
    <w:r w:rsidR="00BE59C9">
      <w:t xml:space="preserve"> |</w:t>
    </w:r>
    <w:r>
      <w:t xml:space="preserve"> </w:t>
    </w:r>
    <w:r w:rsidR="00C96375">
      <w:t>2</w:t>
    </w:r>
    <w:r w:rsidR="00590886">
      <w:t>Q</w:t>
    </w:r>
    <w:r w:rsidR="00BE59C9">
      <w:t xml:space="preserve"> </w:t>
    </w:r>
    <w:r w:rsidR="00FA79EA">
      <w:t>201</w:t>
    </w:r>
    <w:r w:rsidR="009E476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83B"/>
    <w:multiLevelType w:val="hybridMultilevel"/>
    <w:tmpl w:val="9B40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55D3"/>
    <w:multiLevelType w:val="hybridMultilevel"/>
    <w:tmpl w:val="D1C4C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57A9D"/>
    <w:multiLevelType w:val="hybridMultilevel"/>
    <w:tmpl w:val="7C9AB378"/>
    <w:lvl w:ilvl="0" w:tplc="B4BC092E">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1F2E"/>
    <w:multiLevelType w:val="hybridMultilevel"/>
    <w:tmpl w:val="C6206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2F5FC1"/>
    <w:multiLevelType w:val="multilevel"/>
    <w:tmpl w:val="61AA0B02"/>
    <w:lvl w:ilvl="0">
      <w:start w:val="1"/>
      <w:numFmt w:val="bullet"/>
      <w:lvlText w:val=""/>
      <w:lvlJc w:val="left"/>
      <w:pPr>
        <w:tabs>
          <w:tab w:val="num" w:pos="288"/>
        </w:tabs>
        <w:ind w:left="288" w:hanging="288"/>
      </w:pPr>
      <w:rPr>
        <w:rFonts w:ascii="Symbol" w:hAnsi="Symbol" w:hint="default"/>
        <w:color w:val="000000" w:themeColor="text1"/>
        <w:sz w:val="18"/>
      </w:rPr>
    </w:lvl>
    <w:lvl w:ilvl="1">
      <w:start w:val="1"/>
      <w:numFmt w:val="bullet"/>
      <w:lvlText w:val=""/>
      <w:lvlJc w:val="left"/>
      <w:pPr>
        <w:tabs>
          <w:tab w:val="num" w:pos="1080"/>
        </w:tabs>
        <w:ind w:left="1080" w:hanging="360"/>
      </w:pPr>
      <w:rPr>
        <w:rFonts w:ascii="Symbol" w:hAnsi="Symbol" w:hint="default"/>
        <w:color w:val="333399"/>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4E1741"/>
    <w:multiLevelType w:val="hybridMultilevel"/>
    <w:tmpl w:val="AEE2A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B71F4"/>
    <w:multiLevelType w:val="hybridMultilevel"/>
    <w:tmpl w:val="FB207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914530"/>
    <w:multiLevelType w:val="hybridMultilevel"/>
    <w:tmpl w:val="089A3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16FE3"/>
    <w:multiLevelType w:val="hybridMultilevel"/>
    <w:tmpl w:val="CCDA546A"/>
    <w:lvl w:ilvl="0" w:tplc="15F60064">
      <w:start w:val="1"/>
      <w:numFmt w:val="bullet"/>
      <w:lvlText w:val=""/>
      <w:lvlJc w:val="left"/>
      <w:pPr>
        <w:ind w:left="720" w:hanging="360"/>
      </w:pPr>
      <w:rPr>
        <w:rFonts w:ascii="Symbol" w:hAnsi="Symbol" w:hint="default"/>
        <w:color w:val="000000" w:themeColor="text1"/>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F2495"/>
    <w:multiLevelType w:val="hybridMultilevel"/>
    <w:tmpl w:val="66425864"/>
    <w:lvl w:ilvl="0" w:tplc="59F8E43E">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B3D26"/>
    <w:multiLevelType w:val="hybridMultilevel"/>
    <w:tmpl w:val="8E142454"/>
    <w:lvl w:ilvl="0" w:tplc="FDD22458">
      <w:start w:val="1"/>
      <w:numFmt w:val="bullet"/>
      <w:lvlText w:val=""/>
      <w:lvlJc w:val="left"/>
      <w:pPr>
        <w:ind w:left="360" w:hanging="360"/>
      </w:pPr>
      <w:rPr>
        <w:rFonts w:ascii="Symbol" w:hAnsi="Symbol" w:hint="default"/>
        <w:color w:val="0084B8"/>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950804"/>
    <w:multiLevelType w:val="multilevel"/>
    <w:tmpl w:val="D6AC42B8"/>
    <w:lvl w:ilvl="0">
      <w:start w:val="1"/>
      <w:numFmt w:val="decimal"/>
      <w:lvlText w:val="%1."/>
      <w:lvlJc w:val="left"/>
      <w:pPr>
        <w:tabs>
          <w:tab w:val="num" w:pos="288"/>
        </w:tabs>
        <w:ind w:left="288" w:hanging="288"/>
      </w:pPr>
      <w:rPr>
        <w:rFonts w:hint="default"/>
        <w:i w:val="0"/>
        <w:color w:val="000000"/>
        <w:sz w:val="20"/>
      </w:rPr>
    </w:lvl>
    <w:lvl w:ilvl="1">
      <w:start w:val="1"/>
      <w:numFmt w:val="bullet"/>
      <w:lvlText w:val=""/>
      <w:lvlJc w:val="left"/>
      <w:pPr>
        <w:tabs>
          <w:tab w:val="num" w:pos="1080"/>
        </w:tabs>
        <w:ind w:left="1080" w:hanging="360"/>
      </w:pPr>
      <w:rPr>
        <w:rFonts w:ascii="Symbol" w:hAnsi="Symbol" w:hint="default"/>
        <w:color w:val="333399"/>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CC4DD5"/>
    <w:multiLevelType w:val="hybridMultilevel"/>
    <w:tmpl w:val="6714F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8311C2"/>
    <w:multiLevelType w:val="hybridMultilevel"/>
    <w:tmpl w:val="EFE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C5D6F"/>
    <w:multiLevelType w:val="multilevel"/>
    <w:tmpl w:val="58F4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B32F6"/>
    <w:multiLevelType w:val="hybridMultilevel"/>
    <w:tmpl w:val="EF541828"/>
    <w:lvl w:ilvl="0" w:tplc="1900835A">
      <w:start w:val="1"/>
      <w:numFmt w:val="decimal"/>
      <w:lvlText w:val="%1."/>
      <w:lvlJc w:val="left"/>
      <w:pPr>
        <w:ind w:left="360" w:hanging="360"/>
      </w:pPr>
      <w:rPr>
        <w:rFonts w:hint="default"/>
        <w:b/>
        <w:bCs/>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5"/>
  </w:num>
  <w:num w:numId="6">
    <w:abstractNumId w:val="3"/>
  </w:num>
  <w:num w:numId="7">
    <w:abstractNumId w:val="13"/>
  </w:num>
  <w:num w:numId="8">
    <w:abstractNumId w:val="4"/>
  </w:num>
  <w:num w:numId="9">
    <w:abstractNumId w:val="0"/>
  </w:num>
  <w:num w:numId="10">
    <w:abstractNumId w:val="14"/>
  </w:num>
  <w:num w:numId="11">
    <w:abstractNumId w:val="1"/>
  </w:num>
  <w:num w:numId="12">
    <w:abstractNumId w:val="8"/>
  </w:num>
  <w:num w:numId="13">
    <w:abstractNumId w:val="6"/>
  </w:num>
  <w:num w:numId="14">
    <w:abstractNumId w:val="6"/>
  </w:num>
  <w:num w:numId="15">
    <w:abstractNumId w:val="11"/>
  </w:num>
  <w:num w:numId="16">
    <w:abstractNumId w:val="1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E4"/>
    <w:rsid w:val="000004C5"/>
    <w:rsid w:val="000008EB"/>
    <w:rsid w:val="00001E6B"/>
    <w:rsid w:val="00003C8D"/>
    <w:rsid w:val="00003D88"/>
    <w:rsid w:val="00004ACB"/>
    <w:rsid w:val="00011127"/>
    <w:rsid w:val="000120F6"/>
    <w:rsid w:val="0001258A"/>
    <w:rsid w:val="00016351"/>
    <w:rsid w:val="000165E0"/>
    <w:rsid w:val="00016956"/>
    <w:rsid w:val="000310AD"/>
    <w:rsid w:val="00032D3B"/>
    <w:rsid w:val="000441A1"/>
    <w:rsid w:val="000474E0"/>
    <w:rsid w:val="000504CC"/>
    <w:rsid w:val="0005062A"/>
    <w:rsid w:val="00051AB4"/>
    <w:rsid w:val="000564DB"/>
    <w:rsid w:val="00056B75"/>
    <w:rsid w:val="00057006"/>
    <w:rsid w:val="00057182"/>
    <w:rsid w:val="00057AB5"/>
    <w:rsid w:val="00065E9F"/>
    <w:rsid w:val="00066DB5"/>
    <w:rsid w:val="0007381F"/>
    <w:rsid w:val="00075FD6"/>
    <w:rsid w:val="00076889"/>
    <w:rsid w:val="00081A60"/>
    <w:rsid w:val="0009576D"/>
    <w:rsid w:val="000957A3"/>
    <w:rsid w:val="000A1D95"/>
    <w:rsid w:val="000B2190"/>
    <w:rsid w:val="000B498E"/>
    <w:rsid w:val="000B5E2F"/>
    <w:rsid w:val="000B6F0E"/>
    <w:rsid w:val="000C4D56"/>
    <w:rsid w:val="000C68CD"/>
    <w:rsid w:val="000E4C75"/>
    <w:rsid w:val="000E56A1"/>
    <w:rsid w:val="000E733C"/>
    <w:rsid w:val="000F20D1"/>
    <w:rsid w:val="000F21C4"/>
    <w:rsid w:val="000F4639"/>
    <w:rsid w:val="0010021B"/>
    <w:rsid w:val="00102AEB"/>
    <w:rsid w:val="00106745"/>
    <w:rsid w:val="00106C0A"/>
    <w:rsid w:val="00107522"/>
    <w:rsid w:val="00110C21"/>
    <w:rsid w:val="001130C2"/>
    <w:rsid w:val="00116963"/>
    <w:rsid w:val="001171BC"/>
    <w:rsid w:val="00117885"/>
    <w:rsid w:val="0012364E"/>
    <w:rsid w:val="00124463"/>
    <w:rsid w:val="0012628D"/>
    <w:rsid w:val="00130CBA"/>
    <w:rsid w:val="0013436F"/>
    <w:rsid w:val="00134B56"/>
    <w:rsid w:val="001364B5"/>
    <w:rsid w:val="00140021"/>
    <w:rsid w:val="001404A0"/>
    <w:rsid w:val="00146D33"/>
    <w:rsid w:val="0015131A"/>
    <w:rsid w:val="00152F59"/>
    <w:rsid w:val="00156826"/>
    <w:rsid w:val="00161CAD"/>
    <w:rsid w:val="001631AE"/>
    <w:rsid w:val="00167FF4"/>
    <w:rsid w:val="00171C01"/>
    <w:rsid w:val="00176F35"/>
    <w:rsid w:val="00181452"/>
    <w:rsid w:val="00181973"/>
    <w:rsid w:val="001870D9"/>
    <w:rsid w:val="00191076"/>
    <w:rsid w:val="001942E4"/>
    <w:rsid w:val="001A4F49"/>
    <w:rsid w:val="001B15F4"/>
    <w:rsid w:val="001B2072"/>
    <w:rsid w:val="001B2938"/>
    <w:rsid w:val="001B3CD5"/>
    <w:rsid w:val="001B574F"/>
    <w:rsid w:val="001C2169"/>
    <w:rsid w:val="001D130B"/>
    <w:rsid w:val="001D7F14"/>
    <w:rsid w:val="001E1100"/>
    <w:rsid w:val="001E2A8C"/>
    <w:rsid w:val="001E744B"/>
    <w:rsid w:val="0020381A"/>
    <w:rsid w:val="00213242"/>
    <w:rsid w:val="002132C6"/>
    <w:rsid w:val="00215AC9"/>
    <w:rsid w:val="002207D3"/>
    <w:rsid w:val="002213CD"/>
    <w:rsid w:val="002229A9"/>
    <w:rsid w:val="002237BF"/>
    <w:rsid w:val="002302A6"/>
    <w:rsid w:val="002315F6"/>
    <w:rsid w:val="00234E8B"/>
    <w:rsid w:val="00235621"/>
    <w:rsid w:val="00240954"/>
    <w:rsid w:val="0024149D"/>
    <w:rsid w:val="0024657B"/>
    <w:rsid w:val="002475A1"/>
    <w:rsid w:val="00250813"/>
    <w:rsid w:val="00256E33"/>
    <w:rsid w:val="00262670"/>
    <w:rsid w:val="00267ACA"/>
    <w:rsid w:val="00270117"/>
    <w:rsid w:val="00274399"/>
    <w:rsid w:val="002751BE"/>
    <w:rsid w:val="00276611"/>
    <w:rsid w:val="0027711B"/>
    <w:rsid w:val="00280D7A"/>
    <w:rsid w:val="00280E3F"/>
    <w:rsid w:val="002810AC"/>
    <w:rsid w:val="00281EB6"/>
    <w:rsid w:val="0028758D"/>
    <w:rsid w:val="00292ACF"/>
    <w:rsid w:val="0029709B"/>
    <w:rsid w:val="002B0514"/>
    <w:rsid w:val="002B0B32"/>
    <w:rsid w:val="002B2767"/>
    <w:rsid w:val="002B4E94"/>
    <w:rsid w:val="002C03AB"/>
    <w:rsid w:val="002C4602"/>
    <w:rsid w:val="002C4E01"/>
    <w:rsid w:val="002C5165"/>
    <w:rsid w:val="002D0D79"/>
    <w:rsid w:val="002D1FA0"/>
    <w:rsid w:val="002D24E1"/>
    <w:rsid w:val="002D3F14"/>
    <w:rsid w:val="002D6EBC"/>
    <w:rsid w:val="002E4A14"/>
    <w:rsid w:val="002E517C"/>
    <w:rsid w:val="002E5D3B"/>
    <w:rsid w:val="002F3343"/>
    <w:rsid w:val="002F6FB4"/>
    <w:rsid w:val="00306415"/>
    <w:rsid w:val="00307936"/>
    <w:rsid w:val="00311183"/>
    <w:rsid w:val="0032005D"/>
    <w:rsid w:val="00323A4E"/>
    <w:rsid w:val="00324B24"/>
    <w:rsid w:val="00324D8C"/>
    <w:rsid w:val="00327DED"/>
    <w:rsid w:val="00331E32"/>
    <w:rsid w:val="003330F6"/>
    <w:rsid w:val="00336C91"/>
    <w:rsid w:val="00341D32"/>
    <w:rsid w:val="003577B3"/>
    <w:rsid w:val="003615E2"/>
    <w:rsid w:val="0036175A"/>
    <w:rsid w:val="00363384"/>
    <w:rsid w:val="00372337"/>
    <w:rsid w:val="00376F49"/>
    <w:rsid w:val="00392423"/>
    <w:rsid w:val="00392729"/>
    <w:rsid w:val="00394676"/>
    <w:rsid w:val="00395053"/>
    <w:rsid w:val="00396D32"/>
    <w:rsid w:val="00397320"/>
    <w:rsid w:val="003A0B68"/>
    <w:rsid w:val="003A46C6"/>
    <w:rsid w:val="003A4F2C"/>
    <w:rsid w:val="003A5384"/>
    <w:rsid w:val="003A65DC"/>
    <w:rsid w:val="003B332C"/>
    <w:rsid w:val="003B3642"/>
    <w:rsid w:val="003B3CCE"/>
    <w:rsid w:val="003C1CA9"/>
    <w:rsid w:val="003C3C12"/>
    <w:rsid w:val="003C5D59"/>
    <w:rsid w:val="003D1715"/>
    <w:rsid w:val="003E18EF"/>
    <w:rsid w:val="003F0641"/>
    <w:rsid w:val="003F2134"/>
    <w:rsid w:val="00402BE9"/>
    <w:rsid w:val="00411F97"/>
    <w:rsid w:val="00415B85"/>
    <w:rsid w:val="00423582"/>
    <w:rsid w:val="004249B6"/>
    <w:rsid w:val="004254B6"/>
    <w:rsid w:val="00430F8F"/>
    <w:rsid w:val="004310B0"/>
    <w:rsid w:val="004348D5"/>
    <w:rsid w:val="00443E0C"/>
    <w:rsid w:val="004466E6"/>
    <w:rsid w:val="004509D5"/>
    <w:rsid w:val="00451C8A"/>
    <w:rsid w:val="00452043"/>
    <w:rsid w:val="00455287"/>
    <w:rsid w:val="00456DF2"/>
    <w:rsid w:val="00461761"/>
    <w:rsid w:val="00473DFE"/>
    <w:rsid w:val="004773B0"/>
    <w:rsid w:val="00483E8D"/>
    <w:rsid w:val="00485A1B"/>
    <w:rsid w:val="004875CC"/>
    <w:rsid w:val="004921DD"/>
    <w:rsid w:val="004A0E94"/>
    <w:rsid w:val="004A3419"/>
    <w:rsid w:val="004A4FC1"/>
    <w:rsid w:val="004A5F12"/>
    <w:rsid w:val="004B59B7"/>
    <w:rsid w:val="004C39AF"/>
    <w:rsid w:val="004D2E58"/>
    <w:rsid w:val="004D36C0"/>
    <w:rsid w:val="004D660C"/>
    <w:rsid w:val="004D7FDB"/>
    <w:rsid w:val="004E2EFF"/>
    <w:rsid w:val="004E3274"/>
    <w:rsid w:val="004E76F6"/>
    <w:rsid w:val="004E7E57"/>
    <w:rsid w:val="004F05CC"/>
    <w:rsid w:val="004F1B1E"/>
    <w:rsid w:val="00505FFD"/>
    <w:rsid w:val="005068B5"/>
    <w:rsid w:val="00511061"/>
    <w:rsid w:val="00511C8C"/>
    <w:rsid w:val="00512CB1"/>
    <w:rsid w:val="00517A53"/>
    <w:rsid w:val="0052172B"/>
    <w:rsid w:val="00524BE3"/>
    <w:rsid w:val="00530183"/>
    <w:rsid w:val="00531982"/>
    <w:rsid w:val="005360BD"/>
    <w:rsid w:val="00536C24"/>
    <w:rsid w:val="0054027A"/>
    <w:rsid w:val="00544D13"/>
    <w:rsid w:val="005476B9"/>
    <w:rsid w:val="0054773F"/>
    <w:rsid w:val="005478F9"/>
    <w:rsid w:val="00550830"/>
    <w:rsid w:val="00551C6D"/>
    <w:rsid w:val="00557085"/>
    <w:rsid w:val="00557637"/>
    <w:rsid w:val="0055769A"/>
    <w:rsid w:val="0056002D"/>
    <w:rsid w:val="0056014D"/>
    <w:rsid w:val="005636E9"/>
    <w:rsid w:val="00565355"/>
    <w:rsid w:val="00566AE1"/>
    <w:rsid w:val="0057045A"/>
    <w:rsid w:val="00573B6F"/>
    <w:rsid w:val="005764B2"/>
    <w:rsid w:val="00576FD8"/>
    <w:rsid w:val="00577E91"/>
    <w:rsid w:val="00584D41"/>
    <w:rsid w:val="00586491"/>
    <w:rsid w:val="00586498"/>
    <w:rsid w:val="00590886"/>
    <w:rsid w:val="005955EE"/>
    <w:rsid w:val="005A04AE"/>
    <w:rsid w:val="005A31E9"/>
    <w:rsid w:val="005B0716"/>
    <w:rsid w:val="005B6B67"/>
    <w:rsid w:val="005C4848"/>
    <w:rsid w:val="005C7BE6"/>
    <w:rsid w:val="005D3938"/>
    <w:rsid w:val="005D3E32"/>
    <w:rsid w:val="005E0650"/>
    <w:rsid w:val="005F3165"/>
    <w:rsid w:val="005F3247"/>
    <w:rsid w:val="005F6F58"/>
    <w:rsid w:val="005F6FE6"/>
    <w:rsid w:val="0060051F"/>
    <w:rsid w:val="00615492"/>
    <w:rsid w:val="0062149B"/>
    <w:rsid w:val="00621F95"/>
    <w:rsid w:val="0062308E"/>
    <w:rsid w:val="0062444B"/>
    <w:rsid w:val="0062560A"/>
    <w:rsid w:val="00632E79"/>
    <w:rsid w:val="0063341A"/>
    <w:rsid w:val="00636E31"/>
    <w:rsid w:val="006375F3"/>
    <w:rsid w:val="0064075D"/>
    <w:rsid w:val="006453C0"/>
    <w:rsid w:val="00651123"/>
    <w:rsid w:val="006527A7"/>
    <w:rsid w:val="00652961"/>
    <w:rsid w:val="0065297E"/>
    <w:rsid w:val="006537F1"/>
    <w:rsid w:val="00653F15"/>
    <w:rsid w:val="006565ED"/>
    <w:rsid w:val="00657AB5"/>
    <w:rsid w:val="0067019F"/>
    <w:rsid w:val="006713D3"/>
    <w:rsid w:val="0067592B"/>
    <w:rsid w:val="00680C94"/>
    <w:rsid w:val="006846D2"/>
    <w:rsid w:val="00690959"/>
    <w:rsid w:val="00691FDE"/>
    <w:rsid w:val="0069249F"/>
    <w:rsid w:val="006A3590"/>
    <w:rsid w:val="006A4C24"/>
    <w:rsid w:val="006B18D7"/>
    <w:rsid w:val="006B33C5"/>
    <w:rsid w:val="006B583A"/>
    <w:rsid w:val="006B59E9"/>
    <w:rsid w:val="006C4E09"/>
    <w:rsid w:val="006C5B73"/>
    <w:rsid w:val="006D079C"/>
    <w:rsid w:val="006D3BD6"/>
    <w:rsid w:val="006D442B"/>
    <w:rsid w:val="006E147E"/>
    <w:rsid w:val="006E3FBF"/>
    <w:rsid w:val="006E6E5A"/>
    <w:rsid w:val="006F28FB"/>
    <w:rsid w:val="006F3B18"/>
    <w:rsid w:val="006F6C8A"/>
    <w:rsid w:val="006F6CE5"/>
    <w:rsid w:val="00702B9F"/>
    <w:rsid w:val="00706CCF"/>
    <w:rsid w:val="00706FF0"/>
    <w:rsid w:val="00707574"/>
    <w:rsid w:val="00713471"/>
    <w:rsid w:val="00715272"/>
    <w:rsid w:val="007168D8"/>
    <w:rsid w:val="00720D07"/>
    <w:rsid w:val="00733552"/>
    <w:rsid w:val="00736411"/>
    <w:rsid w:val="00740DAA"/>
    <w:rsid w:val="00740ED4"/>
    <w:rsid w:val="007411F8"/>
    <w:rsid w:val="00741C10"/>
    <w:rsid w:val="00756A4E"/>
    <w:rsid w:val="0075736E"/>
    <w:rsid w:val="00757F7D"/>
    <w:rsid w:val="007604C3"/>
    <w:rsid w:val="00761409"/>
    <w:rsid w:val="0076341B"/>
    <w:rsid w:val="007637A9"/>
    <w:rsid w:val="00763D1B"/>
    <w:rsid w:val="00764445"/>
    <w:rsid w:val="00765DA1"/>
    <w:rsid w:val="00767DEF"/>
    <w:rsid w:val="00770602"/>
    <w:rsid w:val="007808A5"/>
    <w:rsid w:val="00783245"/>
    <w:rsid w:val="00785811"/>
    <w:rsid w:val="007866EC"/>
    <w:rsid w:val="0078681C"/>
    <w:rsid w:val="007902A2"/>
    <w:rsid w:val="007951FF"/>
    <w:rsid w:val="007A031F"/>
    <w:rsid w:val="007A5154"/>
    <w:rsid w:val="007A5AA4"/>
    <w:rsid w:val="007A65AF"/>
    <w:rsid w:val="007A6A9C"/>
    <w:rsid w:val="007B0F55"/>
    <w:rsid w:val="007B54ED"/>
    <w:rsid w:val="007C59B5"/>
    <w:rsid w:val="007C5F4F"/>
    <w:rsid w:val="007D46A0"/>
    <w:rsid w:val="007D59D0"/>
    <w:rsid w:val="007D6E5C"/>
    <w:rsid w:val="007E544E"/>
    <w:rsid w:val="007E748B"/>
    <w:rsid w:val="007F0E7C"/>
    <w:rsid w:val="007F21D3"/>
    <w:rsid w:val="007F2764"/>
    <w:rsid w:val="007F43E9"/>
    <w:rsid w:val="007F5CE5"/>
    <w:rsid w:val="0080041F"/>
    <w:rsid w:val="008032BF"/>
    <w:rsid w:val="00804DA4"/>
    <w:rsid w:val="00807F4F"/>
    <w:rsid w:val="00814D48"/>
    <w:rsid w:val="008154DF"/>
    <w:rsid w:val="00823812"/>
    <w:rsid w:val="00825278"/>
    <w:rsid w:val="00826C06"/>
    <w:rsid w:val="008274E3"/>
    <w:rsid w:val="00830116"/>
    <w:rsid w:val="008302FD"/>
    <w:rsid w:val="008304D1"/>
    <w:rsid w:val="008313B2"/>
    <w:rsid w:val="0083244F"/>
    <w:rsid w:val="008330D0"/>
    <w:rsid w:val="00835E67"/>
    <w:rsid w:val="00836C93"/>
    <w:rsid w:val="0083761F"/>
    <w:rsid w:val="00842132"/>
    <w:rsid w:val="00843081"/>
    <w:rsid w:val="0084394F"/>
    <w:rsid w:val="00852409"/>
    <w:rsid w:val="0085536A"/>
    <w:rsid w:val="008557AE"/>
    <w:rsid w:val="008567F3"/>
    <w:rsid w:val="00860F6D"/>
    <w:rsid w:val="008619B9"/>
    <w:rsid w:val="00862104"/>
    <w:rsid w:val="008645C6"/>
    <w:rsid w:val="00865F1C"/>
    <w:rsid w:val="00866D48"/>
    <w:rsid w:val="00866E83"/>
    <w:rsid w:val="00866EA3"/>
    <w:rsid w:val="008731B0"/>
    <w:rsid w:val="00874615"/>
    <w:rsid w:val="00884274"/>
    <w:rsid w:val="00884C33"/>
    <w:rsid w:val="00885719"/>
    <w:rsid w:val="008857E9"/>
    <w:rsid w:val="00885912"/>
    <w:rsid w:val="00886A03"/>
    <w:rsid w:val="008943DC"/>
    <w:rsid w:val="00896938"/>
    <w:rsid w:val="00896BE1"/>
    <w:rsid w:val="008A579E"/>
    <w:rsid w:val="008A7C96"/>
    <w:rsid w:val="008B5BC6"/>
    <w:rsid w:val="008C0978"/>
    <w:rsid w:val="008C133D"/>
    <w:rsid w:val="008C2360"/>
    <w:rsid w:val="008C3D0E"/>
    <w:rsid w:val="008C4E37"/>
    <w:rsid w:val="008C5AF2"/>
    <w:rsid w:val="008C6452"/>
    <w:rsid w:val="008D001C"/>
    <w:rsid w:val="008D065E"/>
    <w:rsid w:val="008D1488"/>
    <w:rsid w:val="008D3A01"/>
    <w:rsid w:val="008D4C15"/>
    <w:rsid w:val="008D5186"/>
    <w:rsid w:val="008D5485"/>
    <w:rsid w:val="008D5816"/>
    <w:rsid w:val="008D7495"/>
    <w:rsid w:val="008E0F9C"/>
    <w:rsid w:val="008E15E5"/>
    <w:rsid w:val="008E23EF"/>
    <w:rsid w:val="008E55B3"/>
    <w:rsid w:val="008E6E82"/>
    <w:rsid w:val="008F04A9"/>
    <w:rsid w:val="008F3A6D"/>
    <w:rsid w:val="008F6C92"/>
    <w:rsid w:val="00901E8A"/>
    <w:rsid w:val="00904B11"/>
    <w:rsid w:val="0090569D"/>
    <w:rsid w:val="0091448F"/>
    <w:rsid w:val="009153F6"/>
    <w:rsid w:val="009155D2"/>
    <w:rsid w:val="00927C82"/>
    <w:rsid w:val="009310E1"/>
    <w:rsid w:val="00932E5B"/>
    <w:rsid w:val="009337F0"/>
    <w:rsid w:val="009347A6"/>
    <w:rsid w:val="00934B0C"/>
    <w:rsid w:val="009353D1"/>
    <w:rsid w:val="009364DB"/>
    <w:rsid w:val="00941955"/>
    <w:rsid w:val="009470D3"/>
    <w:rsid w:val="00960790"/>
    <w:rsid w:val="00964CBC"/>
    <w:rsid w:val="009656B3"/>
    <w:rsid w:val="0096620D"/>
    <w:rsid w:val="00972B40"/>
    <w:rsid w:val="00975117"/>
    <w:rsid w:val="00976A2D"/>
    <w:rsid w:val="00977198"/>
    <w:rsid w:val="0098531B"/>
    <w:rsid w:val="009A1BA8"/>
    <w:rsid w:val="009A2672"/>
    <w:rsid w:val="009B14C9"/>
    <w:rsid w:val="009C445F"/>
    <w:rsid w:val="009C5447"/>
    <w:rsid w:val="009C6A54"/>
    <w:rsid w:val="009D3705"/>
    <w:rsid w:val="009D560B"/>
    <w:rsid w:val="009D70F9"/>
    <w:rsid w:val="009E10A4"/>
    <w:rsid w:val="009E3062"/>
    <w:rsid w:val="009E4762"/>
    <w:rsid w:val="009F3F78"/>
    <w:rsid w:val="009F40EC"/>
    <w:rsid w:val="009F432B"/>
    <w:rsid w:val="009F499E"/>
    <w:rsid w:val="009F4B5F"/>
    <w:rsid w:val="00A00CFA"/>
    <w:rsid w:val="00A040FB"/>
    <w:rsid w:val="00A073D4"/>
    <w:rsid w:val="00A07DF6"/>
    <w:rsid w:val="00A119DF"/>
    <w:rsid w:val="00A1655A"/>
    <w:rsid w:val="00A16B3A"/>
    <w:rsid w:val="00A27CCB"/>
    <w:rsid w:val="00A33406"/>
    <w:rsid w:val="00A3349C"/>
    <w:rsid w:val="00A36D1D"/>
    <w:rsid w:val="00A40ACA"/>
    <w:rsid w:val="00A414F6"/>
    <w:rsid w:val="00A46796"/>
    <w:rsid w:val="00A51189"/>
    <w:rsid w:val="00A5119A"/>
    <w:rsid w:val="00A53766"/>
    <w:rsid w:val="00A5432A"/>
    <w:rsid w:val="00A60A0D"/>
    <w:rsid w:val="00A625A6"/>
    <w:rsid w:val="00A64EA3"/>
    <w:rsid w:val="00A65596"/>
    <w:rsid w:val="00A65B0A"/>
    <w:rsid w:val="00A670D6"/>
    <w:rsid w:val="00A67222"/>
    <w:rsid w:val="00A72AE5"/>
    <w:rsid w:val="00A73B61"/>
    <w:rsid w:val="00A756F5"/>
    <w:rsid w:val="00A81DD3"/>
    <w:rsid w:val="00A82ABB"/>
    <w:rsid w:val="00A830EE"/>
    <w:rsid w:val="00A93C5F"/>
    <w:rsid w:val="00AA0675"/>
    <w:rsid w:val="00AA2ABC"/>
    <w:rsid w:val="00AA7BE9"/>
    <w:rsid w:val="00AB4BB2"/>
    <w:rsid w:val="00AB615B"/>
    <w:rsid w:val="00AC4DB6"/>
    <w:rsid w:val="00AC59BB"/>
    <w:rsid w:val="00AC5E38"/>
    <w:rsid w:val="00AD470B"/>
    <w:rsid w:val="00AE41FD"/>
    <w:rsid w:val="00AE6E02"/>
    <w:rsid w:val="00AE726F"/>
    <w:rsid w:val="00AF50ED"/>
    <w:rsid w:val="00AF71B6"/>
    <w:rsid w:val="00B104D9"/>
    <w:rsid w:val="00B14A30"/>
    <w:rsid w:val="00B17D16"/>
    <w:rsid w:val="00B2268F"/>
    <w:rsid w:val="00B23C80"/>
    <w:rsid w:val="00B240FF"/>
    <w:rsid w:val="00B24720"/>
    <w:rsid w:val="00B24B5B"/>
    <w:rsid w:val="00B27F42"/>
    <w:rsid w:val="00B34A77"/>
    <w:rsid w:val="00B3519C"/>
    <w:rsid w:val="00B40558"/>
    <w:rsid w:val="00B452BC"/>
    <w:rsid w:val="00B501ED"/>
    <w:rsid w:val="00B50545"/>
    <w:rsid w:val="00B57C61"/>
    <w:rsid w:val="00B661D8"/>
    <w:rsid w:val="00B7280E"/>
    <w:rsid w:val="00B77E08"/>
    <w:rsid w:val="00B8034D"/>
    <w:rsid w:val="00B8045E"/>
    <w:rsid w:val="00B81622"/>
    <w:rsid w:val="00B82287"/>
    <w:rsid w:val="00B82E25"/>
    <w:rsid w:val="00B85C29"/>
    <w:rsid w:val="00B9305A"/>
    <w:rsid w:val="00B968A1"/>
    <w:rsid w:val="00BA0701"/>
    <w:rsid w:val="00BA3D3F"/>
    <w:rsid w:val="00BB16CD"/>
    <w:rsid w:val="00BB3F52"/>
    <w:rsid w:val="00BB4707"/>
    <w:rsid w:val="00BB6E35"/>
    <w:rsid w:val="00BC3BE7"/>
    <w:rsid w:val="00BD1551"/>
    <w:rsid w:val="00BD22DB"/>
    <w:rsid w:val="00BD5B19"/>
    <w:rsid w:val="00BD5D41"/>
    <w:rsid w:val="00BD6C0A"/>
    <w:rsid w:val="00BE2E4B"/>
    <w:rsid w:val="00BE400E"/>
    <w:rsid w:val="00BE4D5A"/>
    <w:rsid w:val="00BE59C9"/>
    <w:rsid w:val="00BE6A8E"/>
    <w:rsid w:val="00BE7B9E"/>
    <w:rsid w:val="00BF0257"/>
    <w:rsid w:val="00BF40AD"/>
    <w:rsid w:val="00BF7776"/>
    <w:rsid w:val="00C04920"/>
    <w:rsid w:val="00C053A8"/>
    <w:rsid w:val="00C15595"/>
    <w:rsid w:val="00C211B2"/>
    <w:rsid w:val="00C24216"/>
    <w:rsid w:val="00C26A6A"/>
    <w:rsid w:val="00C42577"/>
    <w:rsid w:val="00C42EBA"/>
    <w:rsid w:val="00C45CDC"/>
    <w:rsid w:val="00C52C00"/>
    <w:rsid w:val="00C609A1"/>
    <w:rsid w:val="00C675DE"/>
    <w:rsid w:val="00C712AB"/>
    <w:rsid w:val="00C7351B"/>
    <w:rsid w:val="00C73E76"/>
    <w:rsid w:val="00C761BC"/>
    <w:rsid w:val="00C76530"/>
    <w:rsid w:val="00C85E09"/>
    <w:rsid w:val="00C903C4"/>
    <w:rsid w:val="00C95417"/>
    <w:rsid w:val="00C96375"/>
    <w:rsid w:val="00CB11C7"/>
    <w:rsid w:val="00CB6FAC"/>
    <w:rsid w:val="00CB7E20"/>
    <w:rsid w:val="00CC5322"/>
    <w:rsid w:val="00CC715F"/>
    <w:rsid w:val="00CC732E"/>
    <w:rsid w:val="00CC7447"/>
    <w:rsid w:val="00CC7EBB"/>
    <w:rsid w:val="00CD198F"/>
    <w:rsid w:val="00CD1E07"/>
    <w:rsid w:val="00CD319D"/>
    <w:rsid w:val="00CD5CC5"/>
    <w:rsid w:val="00CE29BC"/>
    <w:rsid w:val="00CE665B"/>
    <w:rsid w:val="00CE7914"/>
    <w:rsid w:val="00CF48EF"/>
    <w:rsid w:val="00CF6BAD"/>
    <w:rsid w:val="00D02D45"/>
    <w:rsid w:val="00D033FC"/>
    <w:rsid w:val="00D04839"/>
    <w:rsid w:val="00D0592E"/>
    <w:rsid w:val="00D16A07"/>
    <w:rsid w:val="00D1708D"/>
    <w:rsid w:val="00D21127"/>
    <w:rsid w:val="00D25A88"/>
    <w:rsid w:val="00D31FDA"/>
    <w:rsid w:val="00D41BB2"/>
    <w:rsid w:val="00D42B26"/>
    <w:rsid w:val="00D45FE1"/>
    <w:rsid w:val="00D467A4"/>
    <w:rsid w:val="00D5113E"/>
    <w:rsid w:val="00D528BC"/>
    <w:rsid w:val="00D53769"/>
    <w:rsid w:val="00D552CD"/>
    <w:rsid w:val="00D6359D"/>
    <w:rsid w:val="00D645CE"/>
    <w:rsid w:val="00D669F6"/>
    <w:rsid w:val="00D70FCB"/>
    <w:rsid w:val="00D7312E"/>
    <w:rsid w:val="00D773A0"/>
    <w:rsid w:val="00D775B1"/>
    <w:rsid w:val="00D80BD6"/>
    <w:rsid w:val="00D82212"/>
    <w:rsid w:val="00D9253E"/>
    <w:rsid w:val="00D97C79"/>
    <w:rsid w:val="00DA5158"/>
    <w:rsid w:val="00DA52EC"/>
    <w:rsid w:val="00DC001F"/>
    <w:rsid w:val="00DC0A68"/>
    <w:rsid w:val="00DC78B9"/>
    <w:rsid w:val="00DD08A8"/>
    <w:rsid w:val="00DD13A3"/>
    <w:rsid w:val="00DD1D02"/>
    <w:rsid w:val="00DD31D5"/>
    <w:rsid w:val="00DD3FEE"/>
    <w:rsid w:val="00DD4FF8"/>
    <w:rsid w:val="00DD5802"/>
    <w:rsid w:val="00DD6FB1"/>
    <w:rsid w:val="00DD7EB4"/>
    <w:rsid w:val="00DD7FD3"/>
    <w:rsid w:val="00DE081C"/>
    <w:rsid w:val="00DE1E54"/>
    <w:rsid w:val="00DE23EB"/>
    <w:rsid w:val="00DE3E48"/>
    <w:rsid w:val="00DE63EC"/>
    <w:rsid w:val="00DF158D"/>
    <w:rsid w:val="00DF426E"/>
    <w:rsid w:val="00DF59F4"/>
    <w:rsid w:val="00E00A52"/>
    <w:rsid w:val="00E02382"/>
    <w:rsid w:val="00E02E54"/>
    <w:rsid w:val="00E0572D"/>
    <w:rsid w:val="00E076E6"/>
    <w:rsid w:val="00E11E4B"/>
    <w:rsid w:val="00E1588D"/>
    <w:rsid w:val="00E23A21"/>
    <w:rsid w:val="00E31C60"/>
    <w:rsid w:val="00E33240"/>
    <w:rsid w:val="00E347CF"/>
    <w:rsid w:val="00E357C3"/>
    <w:rsid w:val="00E439AD"/>
    <w:rsid w:val="00E43DAD"/>
    <w:rsid w:val="00E43DDE"/>
    <w:rsid w:val="00E44095"/>
    <w:rsid w:val="00E44E4A"/>
    <w:rsid w:val="00E53292"/>
    <w:rsid w:val="00E53884"/>
    <w:rsid w:val="00E6095D"/>
    <w:rsid w:val="00E64166"/>
    <w:rsid w:val="00E66693"/>
    <w:rsid w:val="00E72319"/>
    <w:rsid w:val="00E738AA"/>
    <w:rsid w:val="00E73E07"/>
    <w:rsid w:val="00E75C3A"/>
    <w:rsid w:val="00E80E4B"/>
    <w:rsid w:val="00E81146"/>
    <w:rsid w:val="00E82726"/>
    <w:rsid w:val="00E835A8"/>
    <w:rsid w:val="00E92327"/>
    <w:rsid w:val="00E92B33"/>
    <w:rsid w:val="00E93F54"/>
    <w:rsid w:val="00E95169"/>
    <w:rsid w:val="00E974DE"/>
    <w:rsid w:val="00EA42F3"/>
    <w:rsid w:val="00EA5DC5"/>
    <w:rsid w:val="00EA6C59"/>
    <w:rsid w:val="00EA7B55"/>
    <w:rsid w:val="00EB00ED"/>
    <w:rsid w:val="00EB65B8"/>
    <w:rsid w:val="00EB72C7"/>
    <w:rsid w:val="00EC1216"/>
    <w:rsid w:val="00EC33B3"/>
    <w:rsid w:val="00EC5EF2"/>
    <w:rsid w:val="00EC653D"/>
    <w:rsid w:val="00EC7054"/>
    <w:rsid w:val="00EC7234"/>
    <w:rsid w:val="00ED3493"/>
    <w:rsid w:val="00ED3BA5"/>
    <w:rsid w:val="00ED3C49"/>
    <w:rsid w:val="00ED5DDC"/>
    <w:rsid w:val="00ED73B8"/>
    <w:rsid w:val="00EF1E43"/>
    <w:rsid w:val="00EF20D1"/>
    <w:rsid w:val="00EF4FFD"/>
    <w:rsid w:val="00EF61F5"/>
    <w:rsid w:val="00F03C1E"/>
    <w:rsid w:val="00F1260E"/>
    <w:rsid w:val="00F1339C"/>
    <w:rsid w:val="00F13750"/>
    <w:rsid w:val="00F1496F"/>
    <w:rsid w:val="00F2092A"/>
    <w:rsid w:val="00F2139E"/>
    <w:rsid w:val="00F21A48"/>
    <w:rsid w:val="00F24448"/>
    <w:rsid w:val="00F26045"/>
    <w:rsid w:val="00F34E2D"/>
    <w:rsid w:val="00F54C95"/>
    <w:rsid w:val="00F55E2F"/>
    <w:rsid w:val="00F63290"/>
    <w:rsid w:val="00F652B6"/>
    <w:rsid w:val="00F658DC"/>
    <w:rsid w:val="00F67AE1"/>
    <w:rsid w:val="00F67E04"/>
    <w:rsid w:val="00F7599E"/>
    <w:rsid w:val="00F76F09"/>
    <w:rsid w:val="00F82AEA"/>
    <w:rsid w:val="00F849A9"/>
    <w:rsid w:val="00F87AF9"/>
    <w:rsid w:val="00F943D2"/>
    <w:rsid w:val="00FA28A1"/>
    <w:rsid w:val="00FA79EA"/>
    <w:rsid w:val="00FB1C24"/>
    <w:rsid w:val="00FB57FB"/>
    <w:rsid w:val="00FB6B86"/>
    <w:rsid w:val="00FC5639"/>
    <w:rsid w:val="00FC5E67"/>
    <w:rsid w:val="00FC71D8"/>
    <w:rsid w:val="00FC7B20"/>
    <w:rsid w:val="00FD28C2"/>
    <w:rsid w:val="00FD3695"/>
    <w:rsid w:val="00FD67F8"/>
    <w:rsid w:val="00FD7CFB"/>
    <w:rsid w:val="00FE027C"/>
    <w:rsid w:val="00FE107C"/>
    <w:rsid w:val="00FE5232"/>
    <w:rsid w:val="00FF4A3E"/>
    <w:rsid w:val="00FF4F5D"/>
    <w:rsid w:val="00FF50F2"/>
    <w:rsid w:val="00FF7713"/>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721EF1"/>
  <w15:chartTrackingRefBased/>
  <w15:docId w15:val="{FB422690-9A1C-481F-B92B-12395AEB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3165"/>
  </w:style>
  <w:style w:type="paragraph" w:styleId="Heading1">
    <w:name w:val="heading 1"/>
    <w:basedOn w:val="Normal"/>
    <w:next w:val="Normal"/>
    <w:link w:val="Heading1Char"/>
    <w:uiPriority w:val="9"/>
    <w:qFormat/>
    <w:rsid w:val="001942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A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E4"/>
  </w:style>
  <w:style w:type="paragraph" w:styleId="Footer">
    <w:name w:val="footer"/>
    <w:basedOn w:val="Normal"/>
    <w:link w:val="FooterChar"/>
    <w:uiPriority w:val="99"/>
    <w:unhideWhenUsed/>
    <w:rsid w:val="0019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E4"/>
  </w:style>
  <w:style w:type="character" w:customStyle="1" w:styleId="Heading1Char">
    <w:name w:val="Heading 1 Char"/>
    <w:basedOn w:val="DefaultParagraphFont"/>
    <w:link w:val="Heading1"/>
    <w:uiPriority w:val="9"/>
    <w:rsid w:val="001942E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942E4"/>
    <w:pPr>
      <w:ind w:left="720"/>
      <w:contextualSpacing/>
    </w:pPr>
  </w:style>
  <w:style w:type="character" w:customStyle="1" w:styleId="Heading2Char">
    <w:name w:val="Heading 2 Char"/>
    <w:basedOn w:val="DefaultParagraphFont"/>
    <w:link w:val="Heading2"/>
    <w:uiPriority w:val="9"/>
    <w:rsid w:val="00051AB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unhideWhenUsed/>
    <w:rsid w:val="009B1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4C9"/>
    <w:rPr>
      <w:sz w:val="20"/>
      <w:szCs w:val="20"/>
    </w:rPr>
  </w:style>
  <w:style w:type="character" w:styleId="FootnoteReference">
    <w:name w:val="footnote reference"/>
    <w:basedOn w:val="DefaultParagraphFont"/>
    <w:unhideWhenUsed/>
    <w:rsid w:val="009B14C9"/>
    <w:rPr>
      <w:vertAlign w:val="superscript"/>
    </w:rPr>
  </w:style>
  <w:style w:type="paragraph" w:styleId="BalloonText">
    <w:name w:val="Balloon Text"/>
    <w:basedOn w:val="Normal"/>
    <w:link w:val="BalloonTextChar"/>
    <w:uiPriority w:val="99"/>
    <w:semiHidden/>
    <w:unhideWhenUsed/>
    <w:rsid w:val="009B1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C9"/>
    <w:rPr>
      <w:rFonts w:ascii="Segoe UI" w:hAnsi="Segoe UI" w:cs="Segoe UI"/>
      <w:sz w:val="18"/>
      <w:szCs w:val="18"/>
    </w:rPr>
  </w:style>
  <w:style w:type="paragraph" w:styleId="NormalWeb">
    <w:name w:val="Normal (Web)"/>
    <w:basedOn w:val="Normal"/>
    <w:uiPriority w:val="99"/>
    <w:semiHidden/>
    <w:unhideWhenUsed/>
    <w:rsid w:val="00BF40A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6826"/>
    <w:rPr>
      <w:sz w:val="16"/>
      <w:szCs w:val="16"/>
    </w:rPr>
  </w:style>
  <w:style w:type="paragraph" w:styleId="CommentText">
    <w:name w:val="annotation text"/>
    <w:basedOn w:val="Normal"/>
    <w:link w:val="CommentTextChar"/>
    <w:uiPriority w:val="99"/>
    <w:semiHidden/>
    <w:unhideWhenUsed/>
    <w:rsid w:val="00156826"/>
    <w:pPr>
      <w:spacing w:line="240" w:lineRule="auto"/>
    </w:pPr>
    <w:rPr>
      <w:sz w:val="20"/>
      <w:szCs w:val="20"/>
    </w:rPr>
  </w:style>
  <w:style w:type="character" w:customStyle="1" w:styleId="CommentTextChar">
    <w:name w:val="Comment Text Char"/>
    <w:basedOn w:val="DefaultParagraphFont"/>
    <w:link w:val="CommentText"/>
    <w:uiPriority w:val="99"/>
    <w:semiHidden/>
    <w:rsid w:val="00156826"/>
    <w:rPr>
      <w:sz w:val="20"/>
      <w:szCs w:val="20"/>
    </w:rPr>
  </w:style>
  <w:style w:type="paragraph" w:styleId="CommentSubject">
    <w:name w:val="annotation subject"/>
    <w:basedOn w:val="CommentText"/>
    <w:next w:val="CommentText"/>
    <w:link w:val="CommentSubjectChar"/>
    <w:uiPriority w:val="99"/>
    <w:semiHidden/>
    <w:unhideWhenUsed/>
    <w:rsid w:val="00156826"/>
    <w:rPr>
      <w:b/>
      <w:bCs/>
    </w:rPr>
  </w:style>
  <w:style w:type="character" w:customStyle="1" w:styleId="CommentSubjectChar">
    <w:name w:val="Comment Subject Char"/>
    <w:basedOn w:val="CommentTextChar"/>
    <w:link w:val="CommentSubject"/>
    <w:uiPriority w:val="99"/>
    <w:semiHidden/>
    <w:rsid w:val="00156826"/>
    <w:rPr>
      <w:b/>
      <w:bCs/>
      <w:sz w:val="20"/>
      <w:szCs w:val="20"/>
    </w:rPr>
  </w:style>
  <w:style w:type="character" w:styleId="PlaceholderText">
    <w:name w:val="Placeholder Text"/>
    <w:basedOn w:val="DefaultParagraphFont"/>
    <w:uiPriority w:val="99"/>
    <w:semiHidden/>
    <w:rsid w:val="00823812"/>
    <w:rPr>
      <w:color w:val="808080"/>
    </w:rPr>
  </w:style>
  <w:style w:type="character" w:styleId="Hyperlink">
    <w:name w:val="Hyperlink"/>
    <w:basedOn w:val="DefaultParagraphFont"/>
    <w:uiPriority w:val="99"/>
    <w:unhideWhenUsed/>
    <w:rsid w:val="00804DA4"/>
    <w:rPr>
      <w:color w:val="0563C1" w:themeColor="hyperlink"/>
      <w:u w:val="single"/>
    </w:rPr>
  </w:style>
  <w:style w:type="character" w:styleId="UnresolvedMention">
    <w:name w:val="Unresolved Mention"/>
    <w:basedOn w:val="DefaultParagraphFont"/>
    <w:uiPriority w:val="99"/>
    <w:semiHidden/>
    <w:unhideWhenUsed/>
    <w:rsid w:val="00804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7448">
      <w:bodyDiv w:val="1"/>
      <w:marLeft w:val="0"/>
      <w:marRight w:val="0"/>
      <w:marTop w:val="0"/>
      <w:marBottom w:val="0"/>
      <w:divBdr>
        <w:top w:val="none" w:sz="0" w:space="0" w:color="auto"/>
        <w:left w:val="none" w:sz="0" w:space="0" w:color="auto"/>
        <w:bottom w:val="none" w:sz="0" w:space="0" w:color="auto"/>
        <w:right w:val="none" w:sz="0" w:space="0" w:color="auto"/>
      </w:divBdr>
    </w:div>
    <w:div w:id="167184749">
      <w:bodyDiv w:val="1"/>
      <w:marLeft w:val="0"/>
      <w:marRight w:val="0"/>
      <w:marTop w:val="0"/>
      <w:marBottom w:val="0"/>
      <w:divBdr>
        <w:top w:val="none" w:sz="0" w:space="0" w:color="auto"/>
        <w:left w:val="none" w:sz="0" w:space="0" w:color="auto"/>
        <w:bottom w:val="none" w:sz="0" w:space="0" w:color="auto"/>
        <w:right w:val="none" w:sz="0" w:space="0" w:color="auto"/>
      </w:divBdr>
    </w:div>
    <w:div w:id="228658298">
      <w:bodyDiv w:val="1"/>
      <w:marLeft w:val="0"/>
      <w:marRight w:val="0"/>
      <w:marTop w:val="0"/>
      <w:marBottom w:val="0"/>
      <w:divBdr>
        <w:top w:val="none" w:sz="0" w:space="0" w:color="auto"/>
        <w:left w:val="none" w:sz="0" w:space="0" w:color="auto"/>
        <w:bottom w:val="none" w:sz="0" w:space="0" w:color="auto"/>
        <w:right w:val="none" w:sz="0" w:space="0" w:color="auto"/>
      </w:divBdr>
    </w:div>
    <w:div w:id="275992092">
      <w:bodyDiv w:val="1"/>
      <w:marLeft w:val="0"/>
      <w:marRight w:val="0"/>
      <w:marTop w:val="0"/>
      <w:marBottom w:val="0"/>
      <w:divBdr>
        <w:top w:val="none" w:sz="0" w:space="0" w:color="auto"/>
        <w:left w:val="none" w:sz="0" w:space="0" w:color="auto"/>
        <w:bottom w:val="none" w:sz="0" w:space="0" w:color="auto"/>
        <w:right w:val="none" w:sz="0" w:space="0" w:color="auto"/>
      </w:divBdr>
    </w:div>
    <w:div w:id="293868902">
      <w:bodyDiv w:val="1"/>
      <w:marLeft w:val="0"/>
      <w:marRight w:val="0"/>
      <w:marTop w:val="0"/>
      <w:marBottom w:val="0"/>
      <w:divBdr>
        <w:top w:val="none" w:sz="0" w:space="0" w:color="auto"/>
        <w:left w:val="none" w:sz="0" w:space="0" w:color="auto"/>
        <w:bottom w:val="none" w:sz="0" w:space="0" w:color="auto"/>
        <w:right w:val="none" w:sz="0" w:space="0" w:color="auto"/>
      </w:divBdr>
    </w:div>
    <w:div w:id="347369854">
      <w:bodyDiv w:val="1"/>
      <w:marLeft w:val="0"/>
      <w:marRight w:val="0"/>
      <w:marTop w:val="0"/>
      <w:marBottom w:val="0"/>
      <w:divBdr>
        <w:top w:val="none" w:sz="0" w:space="0" w:color="auto"/>
        <w:left w:val="none" w:sz="0" w:space="0" w:color="auto"/>
        <w:bottom w:val="none" w:sz="0" w:space="0" w:color="auto"/>
        <w:right w:val="none" w:sz="0" w:space="0" w:color="auto"/>
      </w:divBdr>
    </w:div>
    <w:div w:id="375088444">
      <w:bodyDiv w:val="1"/>
      <w:marLeft w:val="0"/>
      <w:marRight w:val="0"/>
      <w:marTop w:val="0"/>
      <w:marBottom w:val="0"/>
      <w:divBdr>
        <w:top w:val="none" w:sz="0" w:space="0" w:color="auto"/>
        <w:left w:val="none" w:sz="0" w:space="0" w:color="auto"/>
        <w:bottom w:val="none" w:sz="0" w:space="0" w:color="auto"/>
        <w:right w:val="none" w:sz="0" w:space="0" w:color="auto"/>
      </w:divBdr>
    </w:div>
    <w:div w:id="433670835">
      <w:bodyDiv w:val="1"/>
      <w:marLeft w:val="0"/>
      <w:marRight w:val="0"/>
      <w:marTop w:val="0"/>
      <w:marBottom w:val="0"/>
      <w:divBdr>
        <w:top w:val="none" w:sz="0" w:space="0" w:color="auto"/>
        <w:left w:val="none" w:sz="0" w:space="0" w:color="auto"/>
        <w:bottom w:val="none" w:sz="0" w:space="0" w:color="auto"/>
        <w:right w:val="none" w:sz="0" w:space="0" w:color="auto"/>
      </w:divBdr>
    </w:div>
    <w:div w:id="449014019">
      <w:bodyDiv w:val="1"/>
      <w:marLeft w:val="0"/>
      <w:marRight w:val="0"/>
      <w:marTop w:val="0"/>
      <w:marBottom w:val="0"/>
      <w:divBdr>
        <w:top w:val="none" w:sz="0" w:space="0" w:color="auto"/>
        <w:left w:val="none" w:sz="0" w:space="0" w:color="auto"/>
        <w:bottom w:val="none" w:sz="0" w:space="0" w:color="auto"/>
        <w:right w:val="none" w:sz="0" w:space="0" w:color="auto"/>
      </w:divBdr>
    </w:div>
    <w:div w:id="542909353">
      <w:bodyDiv w:val="1"/>
      <w:marLeft w:val="0"/>
      <w:marRight w:val="0"/>
      <w:marTop w:val="0"/>
      <w:marBottom w:val="0"/>
      <w:divBdr>
        <w:top w:val="none" w:sz="0" w:space="0" w:color="auto"/>
        <w:left w:val="none" w:sz="0" w:space="0" w:color="auto"/>
        <w:bottom w:val="none" w:sz="0" w:space="0" w:color="auto"/>
        <w:right w:val="none" w:sz="0" w:space="0" w:color="auto"/>
      </w:divBdr>
    </w:div>
    <w:div w:id="546450810">
      <w:bodyDiv w:val="1"/>
      <w:marLeft w:val="0"/>
      <w:marRight w:val="0"/>
      <w:marTop w:val="0"/>
      <w:marBottom w:val="0"/>
      <w:divBdr>
        <w:top w:val="none" w:sz="0" w:space="0" w:color="auto"/>
        <w:left w:val="none" w:sz="0" w:space="0" w:color="auto"/>
        <w:bottom w:val="none" w:sz="0" w:space="0" w:color="auto"/>
        <w:right w:val="none" w:sz="0" w:space="0" w:color="auto"/>
      </w:divBdr>
    </w:div>
    <w:div w:id="724647538">
      <w:bodyDiv w:val="1"/>
      <w:marLeft w:val="0"/>
      <w:marRight w:val="0"/>
      <w:marTop w:val="0"/>
      <w:marBottom w:val="0"/>
      <w:divBdr>
        <w:top w:val="none" w:sz="0" w:space="0" w:color="auto"/>
        <w:left w:val="none" w:sz="0" w:space="0" w:color="auto"/>
        <w:bottom w:val="none" w:sz="0" w:space="0" w:color="auto"/>
        <w:right w:val="none" w:sz="0" w:space="0" w:color="auto"/>
      </w:divBdr>
    </w:div>
    <w:div w:id="731273683">
      <w:bodyDiv w:val="1"/>
      <w:marLeft w:val="0"/>
      <w:marRight w:val="0"/>
      <w:marTop w:val="0"/>
      <w:marBottom w:val="0"/>
      <w:divBdr>
        <w:top w:val="none" w:sz="0" w:space="0" w:color="auto"/>
        <w:left w:val="none" w:sz="0" w:space="0" w:color="auto"/>
        <w:bottom w:val="none" w:sz="0" w:space="0" w:color="auto"/>
        <w:right w:val="none" w:sz="0" w:space="0" w:color="auto"/>
      </w:divBdr>
    </w:div>
    <w:div w:id="737745803">
      <w:bodyDiv w:val="1"/>
      <w:marLeft w:val="0"/>
      <w:marRight w:val="0"/>
      <w:marTop w:val="0"/>
      <w:marBottom w:val="0"/>
      <w:divBdr>
        <w:top w:val="none" w:sz="0" w:space="0" w:color="auto"/>
        <w:left w:val="none" w:sz="0" w:space="0" w:color="auto"/>
        <w:bottom w:val="none" w:sz="0" w:space="0" w:color="auto"/>
        <w:right w:val="none" w:sz="0" w:space="0" w:color="auto"/>
      </w:divBdr>
    </w:div>
    <w:div w:id="764377175">
      <w:bodyDiv w:val="1"/>
      <w:marLeft w:val="0"/>
      <w:marRight w:val="0"/>
      <w:marTop w:val="0"/>
      <w:marBottom w:val="0"/>
      <w:divBdr>
        <w:top w:val="none" w:sz="0" w:space="0" w:color="auto"/>
        <w:left w:val="none" w:sz="0" w:space="0" w:color="auto"/>
        <w:bottom w:val="none" w:sz="0" w:space="0" w:color="auto"/>
        <w:right w:val="none" w:sz="0" w:space="0" w:color="auto"/>
      </w:divBdr>
    </w:div>
    <w:div w:id="831145554">
      <w:bodyDiv w:val="1"/>
      <w:marLeft w:val="0"/>
      <w:marRight w:val="0"/>
      <w:marTop w:val="0"/>
      <w:marBottom w:val="0"/>
      <w:divBdr>
        <w:top w:val="none" w:sz="0" w:space="0" w:color="auto"/>
        <w:left w:val="none" w:sz="0" w:space="0" w:color="auto"/>
        <w:bottom w:val="none" w:sz="0" w:space="0" w:color="auto"/>
        <w:right w:val="none" w:sz="0" w:space="0" w:color="auto"/>
      </w:divBdr>
    </w:div>
    <w:div w:id="860624972">
      <w:bodyDiv w:val="1"/>
      <w:marLeft w:val="0"/>
      <w:marRight w:val="0"/>
      <w:marTop w:val="0"/>
      <w:marBottom w:val="0"/>
      <w:divBdr>
        <w:top w:val="none" w:sz="0" w:space="0" w:color="auto"/>
        <w:left w:val="none" w:sz="0" w:space="0" w:color="auto"/>
        <w:bottom w:val="none" w:sz="0" w:space="0" w:color="auto"/>
        <w:right w:val="none" w:sz="0" w:space="0" w:color="auto"/>
      </w:divBdr>
    </w:div>
    <w:div w:id="1326937586">
      <w:bodyDiv w:val="1"/>
      <w:marLeft w:val="0"/>
      <w:marRight w:val="0"/>
      <w:marTop w:val="0"/>
      <w:marBottom w:val="0"/>
      <w:divBdr>
        <w:top w:val="none" w:sz="0" w:space="0" w:color="auto"/>
        <w:left w:val="none" w:sz="0" w:space="0" w:color="auto"/>
        <w:bottom w:val="none" w:sz="0" w:space="0" w:color="auto"/>
        <w:right w:val="none" w:sz="0" w:space="0" w:color="auto"/>
      </w:divBdr>
    </w:div>
    <w:div w:id="1338578633">
      <w:bodyDiv w:val="1"/>
      <w:marLeft w:val="0"/>
      <w:marRight w:val="0"/>
      <w:marTop w:val="0"/>
      <w:marBottom w:val="0"/>
      <w:divBdr>
        <w:top w:val="none" w:sz="0" w:space="0" w:color="auto"/>
        <w:left w:val="none" w:sz="0" w:space="0" w:color="auto"/>
        <w:bottom w:val="none" w:sz="0" w:space="0" w:color="auto"/>
        <w:right w:val="none" w:sz="0" w:space="0" w:color="auto"/>
      </w:divBdr>
    </w:div>
    <w:div w:id="1541437392">
      <w:bodyDiv w:val="1"/>
      <w:marLeft w:val="0"/>
      <w:marRight w:val="0"/>
      <w:marTop w:val="0"/>
      <w:marBottom w:val="0"/>
      <w:divBdr>
        <w:top w:val="none" w:sz="0" w:space="0" w:color="auto"/>
        <w:left w:val="none" w:sz="0" w:space="0" w:color="auto"/>
        <w:bottom w:val="none" w:sz="0" w:space="0" w:color="auto"/>
        <w:right w:val="none" w:sz="0" w:space="0" w:color="auto"/>
      </w:divBdr>
    </w:div>
    <w:div w:id="1779912231">
      <w:bodyDiv w:val="1"/>
      <w:marLeft w:val="0"/>
      <w:marRight w:val="0"/>
      <w:marTop w:val="0"/>
      <w:marBottom w:val="0"/>
      <w:divBdr>
        <w:top w:val="none" w:sz="0" w:space="0" w:color="auto"/>
        <w:left w:val="none" w:sz="0" w:space="0" w:color="auto"/>
        <w:bottom w:val="none" w:sz="0" w:space="0" w:color="auto"/>
        <w:right w:val="none" w:sz="0" w:space="0" w:color="auto"/>
      </w:divBdr>
    </w:div>
    <w:div w:id="1868180058">
      <w:bodyDiv w:val="1"/>
      <w:marLeft w:val="0"/>
      <w:marRight w:val="0"/>
      <w:marTop w:val="0"/>
      <w:marBottom w:val="0"/>
      <w:divBdr>
        <w:top w:val="none" w:sz="0" w:space="0" w:color="auto"/>
        <w:left w:val="none" w:sz="0" w:space="0" w:color="auto"/>
        <w:bottom w:val="none" w:sz="0" w:space="0" w:color="auto"/>
        <w:right w:val="none" w:sz="0" w:space="0" w:color="auto"/>
      </w:divBdr>
    </w:div>
    <w:div w:id="18717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3E99-4AAC-41C9-8073-2F7A5051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4702</TotalTime>
  <Pages>16</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Parsons</dc:creator>
  <cp:keywords/>
  <dc:description/>
  <cp:lastModifiedBy>Conner Lund</cp:lastModifiedBy>
  <cp:revision>124</cp:revision>
  <cp:lastPrinted>2019-01-17T19:13:00Z</cp:lastPrinted>
  <dcterms:created xsi:type="dcterms:W3CDTF">2018-07-19T23:25:00Z</dcterms:created>
  <dcterms:modified xsi:type="dcterms:W3CDTF">2019-10-23T20:52:00Z</dcterms:modified>
</cp:coreProperties>
</file>